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06204B">
      <w:pPr>
        <w:shd w:val="clear" w:color="auto"/>
        <w:jc w:val="center"/>
        <w:rPr>
          <w:rFonts w:ascii="宋体" w:hAnsi="宋体" w:cs="宋体"/>
          <w:b/>
          <w:color w:val="auto"/>
          <w:spacing w:val="20"/>
          <w:sz w:val="72"/>
          <w:szCs w:val="72"/>
          <w:highlight w:val="none"/>
        </w:rPr>
      </w:pPr>
      <w:r>
        <w:rPr>
          <w:rFonts w:hint="eastAsia" w:ascii="宋体" w:hAnsi="宋体" w:cs="宋体"/>
          <w:b/>
          <w:color w:val="auto"/>
          <w:spacing w:val="20"/>
          <w:sz w:val="72"/>
          <w:szCs w:val="72"/>
          <w:highlight w:val="none"/>
        </w:rPr>
        <w:t>无 锡 市 政 府 采 购</w:t>
      </w:r>
    </w:p>
    <w:p w14:paraId="59BA1B6F">
      <w:pPr>
        <w:shd w:val="clear" w:color="auto"/>
        <w:rPr>
          <w:rFonts w:ascii="宋体" w:hAnsi="宋体" w:cs="宋体"/>
          <w:b/>
          <w:color w:val="auto"/>
          <w:sz w:val="30"/>
          <w:highlight w:val="none"/>
        </w:rPr>
      </w:pPr>
    </w:p>
    <w:p w14:paraId="72756C5A">
      <w:pPr>
        <w:shd w:val="clear" w:color="auto"/>
        <w:rPr>
          <w:rFonts w:ascii="宋体" w:hAnsi="宋体" w:cs="宋体"/>
          <w:b/>
          <w:color w:val="auto"/>
          <w:sz w:val="30"/>
          <w:highlight w:val="none"/>
        </w:rPr>
      </w:pPr>
    </w:p>
    <w:p w14:paraId="1CDBAF0F">
      <w:pPr>
        <w:shd w:val="clear" w:color="auto"/>
        <w:rPr>
          <w:rFonts w:ascii="宋体" w:hAnsi="宋体" w:cs="宋体"/>
          <w:b/>
          <w:color w:val="auto"/>
          <w:sz w:val="30"/>
          <w:highlight w:val="none"/>
        </w:rPr>
      </w:pPr>
    </w:p>
    <w:p w14:paraId="66ECC338">
      <w:pPr>
        <w:shd w:val="clear" w:color="auto"/>
        <w:jc w:val="center"/>
        <w:rPr>
          <w:rFonts w:ascii="宋体" w:hAnsi="宋体" w:cs="宋体"/>
          <w:b/>
          <w:color w:val="auto"/>
          <w:spacing w:val="20"/>
          <w:sz w:val="72"/>
          <w:szCs w:val="72"/>
          <w:highlight w:val="none"/>
        </w:rPr>
      </w:pPr>
      <w:r>
        <w:rPr>
          <w:rFonts w:hint="eastAsia" w:ascii="宋体" w:hAnsi="宋体" w:cs="宋体"/>
          <w:b/>
          <w:color w:val="auto"/>
          <w:spacing w:val="20"/>
          <w:sz w:val="72"/>
          <w:szCs w:val="72"/>
          <w:highlight w:val="none"/>
        </w:rPr>
        <w:t>公   开</w:t>
      </w:r>
    </w:p>
    <w:p w14:paraId="252E5E30">
      <w:pPr>
        <w:shd w:val="clear" w:color="auto"/>
        <w:rPr>
          <w:rFonts w:ascii="宋体" w:hAnsi="宋体" w:cs="宋体"/>
          <w:b/>
          <w:color w:val="auto"/>
          <w:spacing w:val="20"/>
          <w:sz w:val="72"/>
          <w:szCs w:val="72"/>
          <w:highlight w:val="none"/>
        </w:rPr>
      </w:pPr>
    </w:p>
    <w:p w14:paraId="4D35AD97">
      <w:pPr>
        <w:shd w:val="clear" w:color="auto"/>
        <w:jc w:val="center"/>
        <w:rPr>
          <w:rFonts w:ascii="宋体" w:hAnsi="宋体" w:cs="宋体"/>
          <w:b/>
          <w:color w:val="auto"/>
          <w:spacing w:val="20"/>
          <w:sz w:val="72"/>
          <w:szCs w:val="72"/>
          <w:highlight w:val="none"/>
        </w:rPr>
      </w:pPr>
      <w:r>
        <w:rPr>
          <w:rFonts w:hint="eastAsia" w:ascii="宋体" w:hAnsi="宋体" w:cs="宋体"/>
          <w:b/>
          <w:color w:val="auto"/>
          <w:spacing w:val="20"/>
          <w:sz w:val="72"/>
          <w:szCs w:val="72"/>
          <w:highlight w:val="none"/>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2" name="直接连接符 3"/>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a:effectLst/>
                      </wps:spPr>
                      <wps:bodyPr rot="0">
                        <a:noAutofit/>
                      </wps:bodyPr>
                    </wps:wsp>
                  </a:graphicData>
                </a:graphic>
              </wp:anchor>
            </w:drawing>
          </mc:Choice>
          <mc:Fallback>
            <w:pict>
              <v:line id="直接连接符 3" o:spid="_x0000_s1026" o:spt="20" style="position:absolute;left:0pt;margin-left:-8.95pt;margin-top:15.6pt;height:0pt;width:0.05pt;z-index:251659264;mso-width-relative:page;mso-height-relative:page;" filled="f"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K02t9NUAAAAJAQAADwAAAAAAAAABACAAAAAiAAAAZHJz&#10;L2Rvd25yZXYueG1sUEsBAhQAFAAAAAgAh07iQLxudBLOAQAAkQMAAA4AAAAAAAAAAQAgAAAAJAEA&#10;AGRycy9lMm9Eb2MueG1sUEsFBgAAAAAGAAYAWQEAAGQFAAAAAA==&#10;">
                <v:fill on="f" focussize="0,0"/>
                <v:stroke color="#000000" joinstyle="round"/>
                <v:imagedata o:title=""/>
                <o:lock v:ext="edit" aspectratio="f"/>
              </v:line>
            </w:pict>
          </mc:Fallback>
        </mc:AlternateContent>
      </w:r>
      <w:r>
        <w:rPr>
          <w:rFonts w:hint="eastAsia" w:ascii="宋体" w:hAnsi="宋体" w:cs="宋体"/>
          <w:b/>
          <w:color w:val="auto"/>
          <w:spacing w:val="20"/>
          <w:sz w:val="72"/>
          <w:szCs w:val="72"/>
          <w:highlight w:val="none"/>
        </w:rPr>
        <w:t>招  标  文 件</w:t>
      </w:r>
    </w:p>
    <w:p w14:paraId="1DF039A6">
      <w:pPr>
        <w:shd w:val="clear" w:color="auto"/>
        <w:spacing w:line="480" w:lineRule="auto"/>
        <w:rPr>
          <w:rFonts w:ascii="宋体" w:hAnsi="宋体" w:cs="宋体"/>
          <w:b/>
          <w:color w:val="auto"/>
          <w:sz w:val="30"/>
          <w:szCs w:val="30"/>
          <w:highlight w:val="none"/>
        </w:rPr>
      </w:pPr>
    </w:p>
    <w:p w14:paraId="68CE2766">
      <w:pPr>
        <w:shd w:val="clear" w:color="auto"/>
        <w:jc w:val="center"/>
        <w:rPr>
          <w:rFonts w:ascii="宋体" w:hAnsi="宋体" w:cs="宋体"/>
          <w:color w:val="auto"/>
          <w:highlight w:val="none"/>
        </w:rPr>
      </w:pPr>
      <w:r>
        <w:rPr>
          <w:rFonts w:hint="eastAsia" w:ascii="宋体" w:hAnsi="宋体" w:cs="宋体"/>
          <w:b/>
          <w:color w:val="auto"/>
          <w:sz w:val="32"/>
          <w:szCs w:val="32"/>
          <w:highlight w:val="none"/>
        </w:rPr>
        <w:t>（全流程电子化）</w:t>
      </w:r>
    </w:p>
    <w:p w14:paraId="0C155820">
      <w:pPr>
        <w:shd w:val="clear" w:color="auto"/>
        <w:spacing w:line="480" w:lineRule="auto"/>
        <w:ind w:firstLine="904"/>
        <w:rPr>
          <w:rFonts w:ascii="宋体" w:hAnsi="宋体" w:cs="宋体"/>
          <w:b/>
          <w:color w:val="auto"/>
          <w:sz w:val="30"/>
          <w:szCs w:val="30"/>
          <w:highlight w:val="none"/>
        </w:rPr>
      </w:pPr>
      <w:r>
        <w:rPr>
          <w:rFonts w:hint="eastAsia" w:ascii="宋体" w:hAnsi="宋体" w:cs="宋体"/>
          <w:b/>
          <w:color w:val="auto"/>
          <w:sz w:val="30"/>
          <w:szCs w:val="30"/>
          <w:highlight w:val="none"/>
        </w:rPr>
        <w:t xml:space="preserve"> </w:t>
      </w:r>
    </w:p>
    <w:p w14:paraId="326579FD">
      <w:pPr>
        <w:pStyle w:val="2"/>
        <w:shd w:val="clear" w:color="auto"/>
        <w:rPr>
          <w:rFonts w:ascii="宋体" w:hAnsi="宋体" w:eastAsia="宋体" w:cs="宋体"/>
          <w:color w:val="auto"/>
          <w:highlight w:val="none"/>
        </w:rPr>
      </w:pPr>
    </w:p>
    <w:p w14:paraId="22E80504">
      <w:pPr>
        <w:shd w:val="clear" w:color="auto"/>
        <w:spacing w:line="360" w:lineRule="auto"/>
        <w:ind w:firstLine="904"/>
        <w:rPr>
          <w:rFonts w:ascii="宋体" w:hAnsi="宋体" w:cs="宋体"/>
          <w:b/>
          <w:color w:val="auto"/>
          <w:sz w:val="30"/>
          <w:szCs w:val="30"/>
          <w:highlight w:val="none"/>
        </w:rPr>
      </w:pPr>
      <w:r>
        <w:rPr>
          <w:rFonts w:hint="eastAsia" w:ascii="宋体" w:hAnsi="宋体" w:cs="宋体"/>
          <w:b/>
          <w:color w:val="auto"/>
          <w:sz w:val="30"/>
          <w:szCs w:val="30"/>
          <w:highlight w:val="none"/>
        </w:rPr>
        <w:t>政府采购编号：</w:t>
      </w:r>
      <w:r>
        <w:rPr>
          <w:rFonts w:hint="eastAsia" w:ascii="宋体" w:hAnsi="宋体" w:cs="宋体"/>
          <w:b/>
          <w:color w:val="auto"/>
          <w:sz w:val="30"/>
          <w:szCs w:val="30"/>
          <w:highlight w:val="none"/>
          <w:lang w:eastAsia="zh-CN"/>
        </w:rPr>
        <w:t>JSZC-320200-BJZC-G2026-0006</w:t>
      </w:r>
      <w:r>
        <w:rPr>
          <w:rFonts w:hint="eastAsia" w:ascii="宋体" w:hAnsi="宋体" w:cs="宋体"/>
          <w:b/>
          <w:color w:val="auto"/>
          <w:sz w:val="30"/>
          <w:szCs w:val="30"/>
          <w:highlight w:val="none"/>
        </w:rPr>
        <w:t xml:space="preserve"> </w:t>
      </w:r>
    </w:p>
    <w:p w14:paraId="0E3316E9">
      <w:pPr>
        <w:shd w:val="clear" w:color="auto"/>
        <w:spacing w:line="360" w:lineRule="auto"/>
        <w:ind w:left="3003" w:hanging="2108"/>
        <w:rPr>
          <w:rFonts w:ascii="宋体" w:hAnsi="宋体" w:cs="宋体"/>
          <w:b/>
          <w:color w:val="auto"/>
          <w:sz w:val="30"/>
          <w:szCs w:val="30"/>
          <w:highlight w:val="none"/>
        </w:rPr>
      </w:pPr>
      <w:r>
        <w:rPr>
          <w:rFonts w:hint="eastAsia" w:ascii="宋体" w:hAnsi="宋体" w:cs="宋体"/>
          <w:b/>
          <w:color w:val="auto"/>
          <w:sz w:val="30"/>
          <w:szCs w:val="30"/>
          <w:highlight w:val="none"/>
        </w:rPr>
        <w:t>采购项目名称：</w:t>
      </w:r>
      <w:r>
        <w:rPr>
          <w:rFonts w:hint="eastAsia" w:ascii="宋体" w:hAnsi="宋体" w:cs="宋体"/>
          <w:b/>
          <w:color w:val="auto"/>
          <w:sz w:val="30"/>
          <w:szCs w:val="30"/>
          <w:highlight w:val="none"/>
          <w:lang w:eastAsia="zh-CN"/>
        </w:rPr>
        <w:t>文华路199号综合楼餐饮服务项目（第二次）</w:t>
      </w:r>
      <w:r>
        <w:rPr>
          <w:rFonts w:hint="eastAsia" w:ascii="宋体" w:hAnsi="宋体" w:cs="宋体"/>
          <w:b/>
          <w:color w:val="auto"/>
          <w:sz w:val="30"/>
          <w:szCs w:val="30"/>
          <w:highlight w:val="none"/>
        </w:rPr>
        <w:t xml:space="preserve"> </w:t>
      </w:r>
    </w:p>
    <w:p w14:paraId="2E5B2912">
      <w:pPr>
        <w:shd w:val="clear" w:color="auto"/>
        <w:spacing w:line="360" w:lineRule="auto"/>
        <w:ind w:firstLine="904"/>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采   购   人：</w:t>
      </w:r>
      <w:r>
        <w:rPr>
          <w:rFonts w:hint="eastAsia" w:ascii="宋体" w:hAnsi="宋体" w:cs="宋体"/>
          <w:b/>
          <w:color w:val="auto"/>
          <w:sz w:val="30"/>
          <w:szCs w:val="30"/>
          <w:highlight w:val="none"/>
          <w:lang w:eastAsia="zh-CN"/>
        </w:rPr>
        <w:t>无锡市机关事务管理局（</w:t>
      </w:r>
      <w:r>
        <w:rPr>
          <w:rFonts w:hint="eastAsia" w:ascii="宋体" w:hAnsi="宋体" w:cs="宋体"/>
          <w:b/>
          <w:color w:val="auto"/>
          <w:sz w:val="30"/>
          <w:szCs w:val="30"/>
          <w:highlight w:val="none"/>
          <w:lang w:val="en-US" w:eastAsia="zh-CN"/>
        </w:rPr>
        <w:t>本级</w:t>
      </w:r>
      <w:r>
        <w:rPr>
          <w:rFonts w:hint="eastAsia" w:ascii="宋体" w:hAnsi="宋体" w:cs="宋体"/>
          <w:b/>
          <w:color w:val="auto"/>
          <w:sz w:val="30"/>
          <w:szCs w:val="30"/>
          <w:highlight w:val="none"/>
          <w:lang w:eastAsia="zh-CN"/>
        </w:rPr>
        <w:t>）</w:t>
      </w:r>
    </w:p>
    <w:p w14:paraId="5B025FAF">
      <w:pPr>
        <w:shd w:val="clear" w:color="auto"/>
        <w:spacing w:line="360" w:lineRule="auto"/>
        <w:ind w:firstLine="904"/>
        <w:rPr>
          <w:rFonts w:ascii="宋体" w:hAnsi="宋体" w:cs="宋体"/>
          <w:b/>
          <w:color w:val="auto"/>
          <w:sz w:val="30"/>
          <w:szCs w:val="30"/>
          <w:highlight w:val="none"/>
        </w:rPr>
      </w:pPr>
      <w:r>
        <w:rPr>
          <w:rFonts w:hint="eastAsia" w:ascii="宋体" w:hAnsi="宋体" w:cs="宋体"/>
          <w:b/>
          <w:color w:val="auto"/>
          <w:sz w:val="30"/>
          <w:szCs w:val="30"/>
          <w:highlight w:val="none"/>
        </w:rPr>
        <w:t>采购代理机构：</w:t>
      </w:r>
      <w:r>
        <w:rPr>
          <w:rFonts w:hint="eastAsia" w:ascii="宋体" w:hAnsi="宋体" w:cs="宋体"/>
          <w:b/>
          <w:color w:val="auto"/>
          <w:sz w:val="30"/>
          <w:szCs w:val="30"/>
          <w:highlight w:val="none"/>
          <w:lang w:eastAsia="zh-CN"/>
        </w:rPr>
        <w:t>北京中昌工程咨询有限公司</w:t>
      </w:r>
      <w:r>
        <w:rPr>
          <w:rFonts w:hint="eastAsia" w:ascii="宋体" w:hAnsi="宋体" w:cs="宋体"/>
          <w:b/>
          <w:color w:val="auto"/>
          <w:sz w:val="30"/>
          <w:szCs w:val="30"/>
          <w:highlight w:val="none"/>
        </w:rPr>
        <w:t xml:space="preserve"> </w:t>
      </w:r>
    </w:p>
    <w:p w14:paraId="5A1A6F9A">
      <w:pPr>
        <w:shd w:val="clear" w:color="auto"/>
        <w:spacing w:line="360" w:lineRule="auto"/>
        <w:ind w:firstLine="904"/>
        <w:jc w:val="center"/>
        <w:rPr>
          <w:rFonts w:ascii="宋体" w:hAnsi="宋体" w:cs="宋体"/>
          <w:b/>
          <w:color w:val="auto"/>
          <w:sz w:val="30"/>
          <w:szCs w:val="30"/>
          <w:highlight w:val="none"/>
        </w:rPr>
      </w:pPr>
    </w:p>
    <w:p w14:paraId="1B068D48">
      <w:pPr>
        <w:pStyle w:val="3"/>
        <w:shd w:val="clear" w:color="auto"/>
        <w:rPr>
          <w:rFonts w:ascii="宋体" w:hAnsi="宋体" w:eastAsia="宋体" w:cs="宋体"/>
          <w:color w:val="auto"/>
          <w:highlight w:val="none"/>
        </w:rPr>
      </w:pPr>
    </w:p>
    <w:p w14:paraId="5680F9C0">
      <w:pPr>
        <w:shd w:val="clear" w:color="auto"/>
        <w:spacing w:line="360" w:lineRule="auto"/>
        <w:ind w:firstLine="904"/>
        <w:jc w:val="center"/>
        <w:rPr>
          <w:rStyle w:val="225"/>
          <w:rFonts w:ascii="宋体" w:hAnsi="宋体" w:cs="宋体"/>
          <w:b/>
          <w:color w:val="auto"/>
          <w:highlight w:val="none"/>
        </w:rPr>
      </w:pPr>
      <w:r>
        <w:rPr>
          <w:rFonts w:hint="eastAsia" w:ascii="宋体" w:hAnsi="宋体" w:cs="宋体"/>
          <w:b/>
          <w:color w:val="auto"/>
          <w:sz w:val="30"/>
          <w:szCs w:val="30"/>
          <w:highlight w:val="none"/>
        </w:rPr>
        <w:t>二○二六年</w:t>
      </w:r>
      <w:r>
        <w:rPr>
          <w:rFonts w:hint="eastAsia" w:ascii="宋体" w:hAnsi="宋体" w:cs="宋体"/>
          <w:b/>
          <w:color w:val="auto"/>
          <w:sz w:val="30"/>
          <w:szCs w:val="30"/>
          <w:highlight w:val="none"/>
          <w:lang w:val="en-US" w:eastAsia="zh-CN"/>
        </w:rPr>
        <w:t>六</w:t>
      </w:r>
      <w:r>
        <w:rPr>
          <w:rFonts w:hint="eastAsia" w:ascii="宋体" w:hAnsi="宋体" w:cs="宋体"/>
          <w:b/>
          <w:color w:val="auto"/>
          <w:sz w:val="30"/>
          <w:szCs w:val="30"/>
          <w:highlight w:val="none"/>
        </w:rPr>
        <w:t>月</w:t>
      </w:r>
    </w:p>
    <w:p w14:paraId="67708ECD">
      <w:pPr>
        <w:shd w:val="clear" w:color="auto"/>
        <w:jc w:val="center"/>
        <w:rPr>
          <w:rStyle w:val="225"/>
          <w:rFonts w:ascii="宋体" w:hAnsi="宋体" w:cs="宋体"/>
          <w:bCs/>
          <w:color w:val="auto"/>
          <w:sz w:val="48"/>
          <w:highlight w:val="none"/>
        </w:rPr>
      </w:pPr>
    </w:p>
    <w:p w14:paraId="11F51358">
      <w:pPr>
        <w:shd w:val="clear" w:color="auto"/>
        <w:rPr>
          <w:rStyle w:val="225"/>
          <w:rFonts w:ascii="宋体" w:hAnsi="宋体" w:cs="宋体"/>
          <w:bCs/>
          <w:color w:val="auto"/>
          <w:sz w:val="48"/>
          <w:highlight w:val="none"/>
        </w:rPr>
      </w:pPr>
      <w:r>
        <w:rPr>
          <w:rStyle w:val="225"/>
          <w:rFonts w:hint="eastAsia" w:ascii="宋体" w:hAnsi="宋体" w:cs="宋体"/>
          <w:bCs/>
          <w:color w:val="auto"/>
          <w:sz w:val="48"/>
          <w:highlight w:val="none"/>
        </w:rPr>
        <w:br w:type="page" w:clear="all"/>
      </w:r>
    </w:p>
    <w:p w14:paraId="2EFE1582">
      <w:pPr>
        <w:shd w:val="clear" w:color="auto"/>
        <w:jc w:val="center"/>
        <w:rPr>
          <w:rStyle w:val="225"/>
          <w:rFonts w:ascii="宋体" w:hAnsi="宋体" w:cs="宋体"/>
          <w:bCs/>
          <w:color w:val="auto"/>
          <w:sz w:val="48"/>
          <w:highlight w:val="none"/>
        </w:rPr>
      </w:pPr>
      <w:r>
        <w:rPr>
          <w:rStyle w:val="225"/>
          <w:rFonts w:hint="eastAsia" w:ascii="宋体" w:hAnsi="宋体" w:cs="宋体"/>
          <w:bCs/>
          <w:color w:val="auto"/>
          <w:sz w:val="48"/>
          <w:highlight w:val="none"/>
        </w:rPr>
        <w:t>目   录</w:t>
      </w:r>
    </w:p>
    <w:p w14:paraId="2E0811C6">
      <w:pPr>
        <w:shd w:val="clear" w:color="auto"/>
        <w:jc w:val="center"/>
        <w:rPr>
          <w:rFonts w:ascii="宋体" w:hAnsi="宋体" w:cs="宋体"/>
          <w:bCs/>
          <w:color w:val="auto"/>
          <w:sz w:val="30"/>
          <w:highlight w:val="none"/>
        </w:rPr>
      </w:pPr>
    </w:p>
    <w:p w14:paraId="0A27FE6E">
      <w:pPr>
        <w:shd w:val="clear" w:color="auto"/>
        <w:spacing w:line="720" w:lineRule="auto"/>
        <w:ind w:firstLine="630"/>
        <w:rPr>
          <w:rFonts w:ascii="宋体" w:hAnsi="宋体" w:cs="宋体"/>
          <w:bCs/>
          <w:color w:val="auto"/>
          <w:sz w:val="30"/>
          <w:szCs w:val="30"/>
          <w:highlight w:val="none"/>
        </w:rPr>
      </w:pPr>
      <w:r>
        <w:rPr>
          <w:rFonts w:hint="eastAsia" w:ascii="宋体" w:hAnsi="宋体" w:cs="宋体"/>
          <w:bCs/>
          <w:color w:val="auto"/>
          <w:sz w:val="30"/>
          <w:szCs w:val="30"/>
          <w:highlight w:val="none"/>
        </w:rPr>
        <w:t>一．投标</w:t>
      </w:r>
      <w:bookmarkStart w:id="0" w:name="_Hlt529243434"/>
      <w:bookmarkEnd w:id="0"/>
      <w:r>
        <w:rPr>
          <w:rFonts w:hint="eastAsia" w:ascii="宋体" w:hAnsi="宋体" w:cs="宋体"/>
          <w:bCs/>
          <w:color w:val="auto"/>
          <w:sz w:val="30"/>
          <w:szCs w:val="30"/>
          <w:highlight w:val="none"/>
        </w:rPr>
        <w:t>邀请函</w:t>
      </w:r>
    </w:p>
    <w:p w14:paraId="6F37E54B">
      <w:pPr>
        <w:shd w:val="clear" w:color="auto"/>
        <w:spacing w:line="720" w:lineRule="auto"/>
        <w:ind w:firstLine="630"/>
        <w:rPr>
          <w:rFonts w:ascii="宋体" w:hAnsi="宋体" w:cs="宋体"/>
          <w:bCs/>
          <w:color w:val="auto"/>
          <w:sz w:val="30"/>
          <w:szCs w:val="30"/>
          <w:highlight w:val="none"/>
        </w:rPr>
      </w:pPr>
      <w:r>
        <w:rPr>
          <w:rFonts w:hint="eastAsia" w:ascii="宋体" w:hAnsi="宋体" w:cs="宋体"/>
          <w:bCs/>
          <w:color w:val="auto"/>
          <w:sz w:val="30"/>
          <w:szCs w:val="30"/>
          <w:highlight w:val="none"/>
        </w:rPr>
        <w:t>二．投标供应商须知</w:t>
      </w:r>
    </w:p>
    <w:p w14:paraId="453C49C5">
      <w:pPr>
        <w:shd w:val="clear" w:color="auto"/>
        <w:spacing w:line="720" w:lineRule="auto"/>
        <w:ind w:firstLine="630"/>
        <w:rPr>
          <w:rFonts w:ascii="宋体" w:hAnsi="宋体" w:cs="宋体"/>
          <w:bCs/>
          <w:color w:val="auto"/>
          <w:sz w:val="30"/>
          <w:szCs w:val="30"/>
          <w:highlight w:val="none"/>
        </w:rPr>
      </w:pPr>
      <w:r>
        <w:rPr>
          <w:rFonts w:hint="eastAsia" w:ascii="宋体" w:hAnsi="宋体" w:cs="宋体"/>
          <w:bCs/>
          <w:color w:val="auto"/>
          <w:sz w:val="30"/>
          <w:szCs w:val="30"/>
          <w:highlight w:val="none"/>
        </w:rPr>
        <w:t>三．采购需求</w:t>
      </w:r>
    </w:p>
    <w:p w14:paraId="429CA871">
      <w:pPr>
        <w:shd w:val="clear" w:color="auto"/>
        <w:spacing w:line="720" w:lineRule="auto"/>
        <w:ind w:firstLine="630"/>
        <w:rPr>
          <w:rFonts w:ascii="宋体" w:hAnsi="宋体" w:cs="宋体"/>
          <w:bCs/>
          <w:color w:val="auto"/>
          <w:sz w:val="30"/>
          <w:szCs w:val="30"/>
          <w:highlight w:val="none"/>
        </w:rPr>
      </w:pPr>
      <w:r>
        <w:rPr>
          <w:rFonts w:hint="eastAsia" w:ascii="宋体" w:hAnsi="宋体" w:cs="宋体"/>
          <w:bCs/>
          <w:color w:val="auto"/>
          <w:sz w:val="30"/>
          <w:szCs w:val="30"/>
          <w:highlight w:val="none"/>
        </w:rPr>
        <w:t>四. 合同书（格式文本）</w:t>
      </w:r>
    </w:p>
    <w:p w14:paraId="7A3E2F06">
      <w:pPr>
        <w:shd w:val="clear" w:color="auto"/>
        <w:spacing w:line="720" w:lineRule="auto"/>
        <w:ind w:firstLine="630"/>
        <w:rPr>
          <w:rFonts w:ascii="宋体" w:hAnsi="宋体" w:cs="宋体"/>
          <w:bCs/>
          <w:color w:val="auto"/>
          <w:sz w:val="28"/>
          <w:szCs w:val="28"/>
          <w:highlight w:val="none"/>
        </w:rPr>
      </w:pPr>
      <w:r>
        <w:rPr>
          <w:rFonts w:hint="eastAsia" w:ascii="宋体" w:hAnsi="宋体" w:cs="宋体"/>
          <w:bCs/>
          <w:color w:val="auto"/>
          <w:sz w:val="30"/>
          <w:szCs w:val="30"/>
          <w:highlight w:val="none"/>
        </w:rPr>
        <w:t>五. 附件（投标文件格式）</w:t>
      </w:r>
    </w:p>
    <w:p w14:paraId="60752E75">
      <w:pPr>
        <w:widowControl/>
        <w:shd w:val="clear" w:color="auto"/>
        <w:spacing w:line="360" w:lineRule="auto"/>
        <w:rPr>
          <w:rFonts w:ascii="宋体" w:hAnsi="宋体" w:cs="宋体"/>
          <w:b/>
          <w:color w:val="auto"/>
          <w:sz w:val="24"/>
          <w:highlight w:val="none"/>
        </w:rPr>
      </w:pPr>
    </w:p>
    <w:p w14:paraId="68A6B9AE">
      <w:pPr>
        <w:widowControl/>
        <w:shd w:val="clear" w:color="auto"/>
        <w:spacing w:line="360" w:lineRule="auto"/>
        <w:rPr>
          <w:rFonts w:ascii="宋体" w:hAnsi="宋体" w:cs="宋体"/>
          <w:b/>
          <w:color w:val="auto"/>
          <w:sz w:val="24"/>
          <w:highlight w:val="none"/>
        </w:rPr>
      </w:pPr>
    </w:p>
    <w:p w14:paraId="17BF9D6D">
      <w:pPr>
        <w:widowControl/>
        <w:shd w:val="clear" w:color="auto"/>
        <w:spacing w:line="360" w:lineRule="auto"/>
        <w:rPr>
          <w:rFonts w:ascii="宋体" w:hAnsi="宋体" w:cs="宋体"/>
          <w:b/>
          <w:color w:val="auto"/>
          <w:sz w:val="24"/>
          <w:highlight w:val="none"/>
        </w:rPr>
      </w:pPr>
    </w:p>
    <w:p w14:paraId="7952B768">
      <w:pPr>
        <w:widowControl/>
        <w:shd w:val="clear" w:color="auto"/>
        <w:spacing w:line="360" w:lineRule="auto"/>
        <w:rPr>
          <w:rFonts w:ascii="宋体" w:hAnsi="宋体" w:cs="宋体"/>
          <w:b/>
          <w:color w:val="auto"/>
          <w:sz w:val="24"/>
          <w:highlight w:val="none"/>
        </w:rPr>
      </w:pPr>
    </w:p>
    <w:p w14:paraId="096BEC2D">
      <w:pPr>
        <w:widowControl/>
        <w:shd w:val="clear" w:color="auto"/>
        <w:spacing w:line="360" w:lineRule="auto"/>
        <w:rPr>
          <w:rFonts w:ascii="宋体" w:hAnsi="宋体" w:cs="宋体"/>
          <w:b/>
          <w:color w:val="auto"/>
          <w:sz w:val="24"/>
          <w:highlight w:val="none"/>
        </w:rPr>
      </w:pPr>
    </w:p>
    <w:p w14:paraId="580C42CA">
      <w:pPr>
        <w:widowControl/>
        <w:shd w:val="clear" w:color="auto"/>
        <w:spacing w:before="470"/>
        <w:rPr>
          <w:rFonts w:ascii="宋体" w:hAnsi="宋体" w:cs="宋体"/>
          <w:b/>
          <w:color w:val="auto"/>
          <w:sz w:val="24"/>
          <w:highlight w:val="none"/>
        </w:rPr>
      </w:pPr>
    </w:p>
    <w:p w14:paraId="45E1FCC7">
      <w:pPr>
        <w:shd w:val="clear" w:color="auto"/>
        <w:spacing w:line="360" w:lineRule="auto"/>
        <w:jc w:val="center"/>
        <w:rPr>
          <w:rFonts w:ascii="宋体" w:hAnsi="宋体" w:cs="宋体"/>
          <w:b/>
          <w:bCs/>
          <w:color w:val="auto"/>
          <w:sz w:val="32"/>
          <w:szCs w:val="32"/>
          <w:highlight w:val="none"/>
        </w:rPr>
        <w:sectPr>
          <w:headerReference r:id="rId3" w:type="default"/>
          <w:pgSz w:w="11906" w:h="16838"/>
          <w:pgMar w:top="1440" w:right="1440" w:bottom="1440" w:left="1327" w:header="851" w:footer="992" w:gutter="0"/>
          <w:pgBorders>
            <w:top w:val="none" w:sz="0" w:space="0"/>
            <w:left w:val="none" w:sz="0" w:space="0"/>
            <w:bottom w:val="none" w:sz="0" w:space="0"/>
            <w:right w:val="none" w:sz="0" w:space="0"/>
          </w:pgBorders>
          <w:cols w:space="720" w:num="1"/>
          <w:docGrid w:linePitch="360" w:charSpace="0"/>
        </w:sectPr>
      </w:pPr>
    </w:p>
    <w:p w14:paraId="26171D06">
      <w:pPr>
        <w:shd w:val="clear" w:color="auto"/>
        <w:spacing w:line="360" w:lineRule="auto"/>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一．投标邀请函</w:t>
      </w:r>
    </w:p>
    <w:p w14:paraId="1F8E2496">
      <w:pPr>
        <w:shd w:val="clear" w:color="auto"/>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lang w:eastAsia="zh-CN"/>
        </w:rPr>
        <w:t>北京中昌工程咨询有限公司</w:t>
      </w:r>
      <w:r>
        <w:rPr>
          <w:rFonts w:hint="eastAsia" w:ascii="宋体" w:hAnsi="宋体" w:cs="宋体"/>
          <w:bCs/>
          <w:color w:val="auto"/>
          <w:sz w:val="24"/>
          <w:highlight w:val="none"/>
        </w:rPr>
        <w:t>受</w:t>
      </w:r>
      <w:r>
        <w:rPr>
          <w:rFonts w:hint="eastAsia" w:ascii="宋体" w:hAnsi="宋体" w:cs="宋体"/>
          <w:bCs/>
          <w:color w:val="auto"/>
          <w:sz w:val="24"/>
          <w:highlight w:val="none"/>
          <w:lang w:eastAsia="zh-CN"/>
        </w:rPr>
        <w:t>无锡市机关事务管理局（</w:t>
      </w:r>
      <w:r>
        <w:rPr>
          <w:rFonts w:hint="eastAsia" w:ascii="宋体" w:hAnsi="宋体" w:cs="宋体"/>
          <w:bCs/>
          <w:color w:val="auto"/>
          <w:sz w:val="24"/>
          <w:highlight w:val="none"/>
          <w:lang w:val="en-US" w:eastAsia="zh-CN"/>
        </w:rPr>
        <w:t>本级</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的委托，就</w:t>
      </w:r>
      <w:r>
        <w:rPr>
          <w:rFonts w:hint="eastAsia" w:ascii="宋体" w:hAnsi="宋体" w:cs="宋体"/>
          <w:bCs/>
          <w:color w:val="auto"/>
          <w:sz w:val="24"/>
          <w:highlight w:val="none"/>
          <w:lang w:eastAsia="zh-CN"/>
        </w:rPr>
        <w:t>文华路199号综合楼餐饮服务项目（第二次）</w:t>
      </w:r>
      <w:r>
        <w:rPr>
          <w:rFonts w:hint="eastAsia" w:ascii="宋体" w:hAnsi="宋体" w:cs="宋体"/>
          <w:bCs/>
          <w:color w:val="auto"/>
          <w:sz w:val="24"/>
          <w:highlight w:val="none"/>
        </w:rPr>
        <w:t>进行公开招标，欢迎你单位参加投标并提请注意下列附表中的相关事项：</w:t>
      </w:r>
    </w:p>
    <w:tbl>
      <w:tblPr>
        <w:tblStyle w:val="34"/>
        <w:tblW w:w="0" w:type="auto"/>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7"/>
        <w:gridCol w:w="8685"/>
      </w:tblGrid>
      <w:tr w14:paraId="0CFAC0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667" w:type="dxa"/>
            <w:noWrap w:val="0"/>
          </w:tcPr>
          <w:p w14:paraId="047C8353">
            <w:pPr>
              <w:shd w:val="clear" w:color="auto"/>
              <w:rPr>
                <w:rFonts w:ascii="宋体" w:hAnsi="宋体" w:cs="宋体"/>
                <w:bCs/>
                <w:color w:val="auto"/>
                <w:sz w:val="24"/>
                <w:highlight w:val="none"/>
              </w:rPr>
            </w:pPr>
            <w:r>
              <w:rPr>
                <w:rFonts w:hint="eastAsia" w:ascii="宋体" w:hAnsi="宋体" w:cs="宋体"/>
                <w:bCs/>
                <w:color w:val="auto"/>
                <w:szCs w:val="21"/>
                <w:highlight w:val="none"/>
              </w:rPr>
              <w:t>序号</w:t>
            </w:r>
          </w:p>
        </w:tc>
        <w:tc>
          <w:tcPr>
            <w:tcW w:w="8685" w:type="dxa"/>
            <w:noWrap w:val="0"/>
            <w:vAlign w:val="center"/>
          </w:tcPr>
          <w:p w14:paraId="1EB876FD">
            <w:pPr>
              <w:shd w:val="clear" w:color="auto"/>
              <w:spacing w:line="360" w:lineRule="auto"/>
              <w:jc w:val="center"/>
              <w:rPr>
                <w:rFonts w:ascii="宋体" w:hAnsi="宋体" w:cs="宋体"/>
                <w:bCs/>
                <w:color w:val="auto"/>
                <w:sz w:val="24"/>
                <w:highlight w:val="none"/>
              </w:rPr>
            </w:pPr>
            <w:r>
              <w:rPr>
                <w:rFonts w:hint="eastAsia" w:ascii="宋体" w:hAnsi="宋体" w:cs="宋体"/>
                <w:bCs/>
                <w:color w:val="auto"/>
                <w:sz w:val="24"/>
                <w:highlight w:val="none"/>
              </w:rPr>
              <w:t>内    容</w:t>
            </w:r>
          </w:p>
        </w:tc>
      </w:tr>
      <w:tr w14:paraId="3B7F0C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44" w:hRule="atLeast"/>
        </w:trPr>
        <w:tc>
          <w:tcPr>
            <w:tcW w:w="667" w:type="dxa"/>
            <w:noWrap w:val="0"/>
            <w:vAlign w:val="center"/>
          </w:tcPr>
          <w:p w14:paraId="2B7EB705">
            <w:pPr>
              <w:shd w:val="clear" w:color="auto"/>
              <w:spacing w:line="360" w:lineRule="auto"/>
              <w:jc w:val="center"/>
              <w:rPr>
                <w:rFonts w:ascii="宋体" w:hAnsi="宋体" w:cs="宋体"/>
                <w:bCs/>
                <w:color w:val="auto"/>
                <w:sz w:val="24"/>
                <w:highlight w:val="none"/>
              </w:rPr>
            </w:pPr>
            <w:r>
              <w:rPr>
                <w:rFonts w:hint="eastAsia" w:ascii="宋体" w:hAnsi="宋体" w:cs="宋体"/>
                <w:bCs/>
                <w:color w:val="auto"/>
                <w:sz w:val="24"/>
                <w:highlight w:val="none"/>
              </w:rPr>
              <w:t>1</w:t>
            </w:r>
          </w:p>
        </w:tc>
        <w:tc>
          <w:tcPr>
            <w:tcW w:w="8685" w:type="dxa"/>
            <w:noWrap w:val="0"/>
            <w:vAlign w:val="center"/>
          </w:tcPr>
          <w:p w14:paraId="404413ED">
            <w:pPr>
              <w:shd w:val="clear" w:color="auto"/>
              <w:spacing w:line="360" w:lineRule="auto"/>
              <w:ind w:left="1680" w:hanging="1680"/>
              <w:rPr>
                <w:rFonts w:hint="eastAsia" w:ascii="宋体" w:hAnsi="宋体" w:eastAsia="宋体" w:cs="宋体"/>
                <w:color w:val="auto"/>
                <w:sz w:val="24"/>
                <w:highlight w:val="none"/>
                <w:lang w:eastAsia="zh-CN"/>
              </w:rPr>
            </w:pPr>
            <w:r>
              <w:rPr>
                <w:rFonts w:hint="eastAsia" w:ascii="宋体" w:hAnsi="宋体" w:cs="宋体"/>
                <w:bCs/>
                <w:color w:val="auto"/>
                <w:sz w:val="24"/>
                <w:highlight w:val="none"/>
              </w:rPr>
              <w:t>采购项目名称：</w:t>
            </w:r>
            <w:r>
              <w:rPr>
                <w:rFonts w:hint="eastAsia" w:ascii="宋体" w:hAnsi="宋体" w:cs="宋体"/>
                <w:bCs/>
                <w:color w:val="auto"/>
                <w:sz w:val="24"/>
                <w:highlight w:val="none"/>
                <w:lang w:eastAsia="zh-CN"/>
              </w:rPr>
              <w:t>文华路199号综合楼餐饮服务项目（第二次）</w:t>
            </w:r>
          </w:p>
          <w:p w14:paraId="73686AA8">
            <w:pPr>
              <w:shd w:val="clear" w:color="auto"/>
              <w:spacing w:line="360" w:lineRule="auto"/>
              <w:ind w:left="120" w:hanging="120"/>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采购项目编号：</w:t>
            </w:r>
            <w:r>
              <w:rPr>
                <w:rFonts w:hint="eastAsia" w:ascii="宋体" w:hAnsi="宋体" w:cs="宋体"/>
                <w:bCs/>
                <w:color w:val="auto"/>
                <w:sz w:val="24"/>
                <w:highlight w:val="none"/>
                <w:lang w:eastAsia="zh-CN"/>
              </w:rPr>
              <w:t>JSZC-320200-BJZC-G2026-0006</w:t>
            </w:r>
          </w:p>
          <w:p w14:paraId="67A5725D">
            <w:pPr>
              <w:shd w:val="clear" w:color="auto"/>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采 购 人：</w:t>
            </w:r>
            <w:r>
              <w:rPr>
                <w:rFonts w:hint="eastAsia" w:ascii="宋体" w:hAnsi="宋体" w:cs="宋体"/>
                <w:bCs/>
                <w:color w:val="auto"/>
                <w:sz w:val="24"/>
                <w:highlight w:val="none"/>
                <w:lang w:eastAsia="zh-CN"/>
              </w:rPr>
              <w:t>无锡市机关事务管理局（</w:t>
            </w:r>
            <w:r>
              <w:rPr>
                <w:rFonts w:hint="eastAsia" w:ascii="宋体" w:hAnsi="宋体" w:cs="宋体"/>
                <w:bCs/>
                <w:color w:val="auto"/>
                <w:sz w:val="24"/>
                <w:highlight w:val="none"/>
                <w:lang w:val="en-US" w:eastAsia="zh-CN"/>
              </w:rPr>
              <w:t>本级</w:t>
            </w:r>
            <w:r>
              <w:rPr>
                <w:rFonts w:hint="eastAsia" w:ascii="宋体" w:hAnsi="宋体" w:cs="宋体"/>
                <w:bCs/>
                <w:color w:val="auto"/>
                <w:sz w:val="24"/>
                <w:highlight w:val="none"/>
                <w:lang w:eastAsia="zh-CN"/>
              </w:rPr>
              <w:t>）</w:t>
            </w:r>
          </w:p>
          <w:p w14:paraId="5E26FEC1">
            <w:pPr>
              <w:shd w:val="clear" w:color="auto"/>
              <w:spacing w:line="360" w:lineRule="auto"/>
              <w:rPr>
                <w:rFonts w:ascii="宋体" w:hAnsi="宋体" w:cs="宋体"/>
                <w:bCs/>
                <w:color w:val="auto"/>
                <w:sz w:val="24"/>
                <w:highlight w:val="none"/>
              </w:rPr>
            </w:pPr>
            <w:r>
              <w:rPr>
                <w:rFonts w:hint="eastAsia" w:ascii="宋体" w:hAnsi="宋体" w:cs="宋体"/>
                <w:bCs/>
                <w:color w:val="auto"/>
                <w:sz w:val="24"/>
                <w:highlight w:val="none"/>
              </w:rPr>
              <w:t>采购方式：公开招标</w:t>
            </w:r>
          </w:p>
        </w:tc>
      </w:tr>
      <w:tr w14:paraId="39BD20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2" w:hRule="atLeast"/>
        </w:trPr>
        <w:tc>
          <w:tcPr>
            <w:tcW w:w="667" w:type="dxa"/>
            <w:noWrap w:val="0"/>
            <w:vAlign w:val="center"/>
          </w:tcPr>
          <w:p w14:paraId="31C10859">
            <w:pPr>
              <w:shd w:val="clear" w:color="auto"/>
              <w:spacing w:line="360" w:lineRule="auto"/>
              <w:jc w:val="center"/>
              <w:rPr>
                <w:rFonts w:ascii="宋体" w:hAnsi="宋体" w:cs="宋体"/>
                <w:bCs/>
                <w:color w:val="auto"/>
                <w:sz w:val="24"/>
                <w:highlight w:val="none"/>
              </w:rPr>
            </w:pPr>
            <w:r>
              <w:rPr>
                <w:rFonts w:hint="eastAsia" w:ascii="宋体" w:hAnsi="宋体" w:cs="宋体"/>
                <w:bCs/>
                <w:color w:val="auto"/>
                <w:sz w:val="24"/>
                <w:highlight w:val="none"/>
              </w:rPr>
              <w:t>2</w:t>
            </w:r>
          </w:p>
        </w:tc>
        <w:tc>
          <w:tcPr>
            <w:tcW w:w="8685" w:type="dxa"/>
            <w:noWrap w:val="0"/>
            <w:vAlign w:val="center"/>
          </w:tcPr>
          <w:p w14:paraId="06CE52E2">
            <w:pPr>
              <w:shd w:val="clear" w:color="auto"/>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采购代理机构：</w:t>
            </w:r>
            <w:r>
              <w:rPr>
                <w:rFonts w:hint="eastAsia" w:ascii="宋体" w:hAnsi="宋体" w:cs="宋体"/>
                <w:bCs/>
                <w:color w:val="auto"/>
                <w:sz w:val="24"/>
                <w:highlight w:val="none"/>
                <w:lang w:eastAsia="zh-CN"/>
              </w:rPr>
              <w:t>北京中昌工程咨询有限公司</w:t>
            </w:r>
          </w:p>
          <w:p w14:paraId="50627604">
            <w:pPr>
              <w:shd w:val="clear" w:color="auto"/>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地址：</w:t>
            </w:r>
            <w:r>
              <w:rPr>
                <w:rFonts w:hint="eastAsia" w:ascii="宋体" w:hAnsi="宋体" w:cs="宋体"/>
                <w:bCs/>
                <w:color w:val="auto"/>
                <w:sz w:val="24"/>
                <w:highlight w:val="none"/>
                <w:lang w:eastAsia="zh-CN"/>
              </w:rPr>
              <w:t>无锡市梁溪区扬名创智园 H 座二楼</w:t>
            </w:r>
          </w:p>
        </w:tc>
      </w:tr>
      <w:tr w14:paraId="5E774F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67" w:type="dxa"/>
            <w:noWrap w:val="0"/>
            <w:vAlign w:val="center"/>
          </w:tcPr>
          <w:p w14:paraId="5EB89CAD">
            <w:pPr>
              <w:shd w:val="clear" w:color="auto"/>
              <w:spacing w:line="360" w:lineRule="auto"/>
              <w:jc w:val="center"/>
              <w:rPr>
                <w:rFonts w:ascii="宋体" w:hAnsi="宋体" w:cs="宋体"/>
                <w:bCs/>
                <w:color w:val="auto"/>
                <w:sz w:val="24"/>
                <w:highlight w:val="none"/>
              </w:rPr>
            </w:pPr>
            <w:r>
              <w:rPr>
                <w:rFonts w:hint="eastAsia" w:ascii="宋体" w:hAnsi="宋体" w:cs="宋体"/>
                <w:bCs/>
                <w:color w:val="auto"/>
                <w:sz w:val="24"/>
                <w:highlight w:val="none"/>
              </w:rPr>
              <w:t>3</w:t>
            </w:r>
          </w:p>
        </w:tc>
        <w:tc>
          <w:tcPr>
            <w:tcW w:w="8685" w:type="dxa"/>
            <w:noWrap w:val="0"/>
            <w:vAlign w:val="center"/>
          </w:tcPr>
          <w:p w14:paraId="0036DEB1">
            <w:pPr>
              <w:shd w:val="clear" w:color="auto"/>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项目概况、要求：</w:t>
            </w:r>
            <w:r>
              <w:rPr>
                <w:rFonts w:hint="eastAsia" w:ascii="宋体" w:hAnsi="宋体" w:cs="宋体"/>
                <w:bCs/>
                <w:color w:val="auto"/>
                <w:sz w:val="24"/>
                <w:highlight w:val="none"/>
              </w:rPr>
              <w:t>（具体内容、要求详见采购文件“三．采购需求”）</w:t>
            </w:r>
          </w:p>
          <w:p w14:paraId="5B7075CA">
            <w:pPr>
              <w:shd w:val="clear" w:color="auto"/>
              <w:spacing w:line="360" w:lineRule="auto"/>
              <w:rPr>
                <w:rFonts w:ascii="宋体" w:hAnsi="宋体" w:cs="宋体"/>
                <w:bCs/>
                <w:color w:val="auto"/>
                <w:sz w:val="24"/>
                <w:highlight w:val="none"/>
              </w:rPr>
            </w:pPr>
            <w:r>
              <w:rPr>
                <w:rFonts w:hint="eastAsia" w:ascii="宋体" w:hAnsi="宋体" w:cs="宋体"/>
                <w:color w:val="auto"/>
                <w:sz w:val="24"/>
                <w:highlight w:val="none"/>
                <w:lang w:val="zh-CN"/>
              </w:rPr>
              <w:t>（</w:t>
            </w:r>
            <w:r>
              <w:rPr>
                <w:rFonts w:hint="eastAsia" w:ascii="宋体" w:hAnsi="宋体" w:cs="宋体"/>
                <w:color w:val="auto"/>
                <w:sz w:val="24"/>
                <w:highlight w:val="none"/>
              </w:rPr>
              <w:t>1</w:t>
            </w:r>
            <w:r>
              <w:rPr>
                <w:rFonts w:hint="eastAsia" w:ascii="宋体" w:hAnsi="宋体" w:cs="宋体"/>
                <w:color w:val="auto"/>
                <w:sz w:val="24"/>
                <w:highlight w:val="none"/>
                <w:lang w:val="zh-CN"/>
              </w:rPr>
              <w:t>）项目概况：</w:t>
            </w:r>
            <w:r>
              <w:rPr>
                <w:rFonts w:hint="eastAsia" w:ascii="宋体" w:hAnsi="宋体" w:cs="宋体"/>
                <w:bCs/>
                <w:color w:val="auto"/>
                <w:sz w:val="24"/>
                <w:highlight w:val="none"/>
              </w:rPr>
              <w:t>本项目为</w:t>
            </w:r>
            <w:r>
              <w:rPr>
                <w:rFonts w:hint="eastAsia" w:ascii="宋体" w:hAnsi="宋体" w:cs="宋体"/>
                <w:bCs/>
                <w:color w:val="auto"/>
                <w:sz w:val="24"/>
                <w:highlight w:val="none"/>
                <w:lang w:eastAsia="zh-CN"/>
              </w:rPr>
              <w:t>文华路199号综合楼餐饮服务项目（第二次）</w:t>
            </w:r>
            <w:r>
              <w:rPr>
                <w:rFonts w:hint="eastAsia" w:ascii="宋体" w:hAnsi="宋体" w:cs="宋体"/>
                <w:bCs/>
                <w:color w:val="auto"/>
                <w:sz w:val="24"/>
                <w:highlight w:val="none"/>
              </w:rPr>
              <w:t>，详见招标文件第三部分：</w:t>
            </w:r>
            <w:r>
              <w:rPr>
                <w:rFonts w:hint="eastAsia" w:ascii="宋体" w:hAnsi="宋体" w:cs="宋体"/>
                <w:bCs/>
                <w:color w:val="auto"/>
                <w:sz w:val="24"/>
                <w:highlight w:val="none"/>
                <w:lang w:val="en-US" w:eastAsia="zh-CN"/>
              </w:rPr>
              <w:t>采购需求</w:t>
            </w:r>
            <w:r>
              <w:rPr>
                <w:rFonts w:hint="eastAsia" w:ascii="宋体" w:hAnsi="宋体" w:cs="宋体"/>
                <w:bCs/>
                <w:color w:val="auto"/>
                <w:sz w:val="24"/>
                <w:highlight w:val="none"/>
              </w:rPr>
              <w:t>。</w:t>
            </w:r>
          </w:p>
          <w:p w14:paraId="21F4A638">
            <w:pPr>
              <w:shd w:val="clear" w:color="auto"/>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（2）服务地点：</w:t>
            </w:r>
            <w:r>
              <w:rPr>
                <w:rFonts w:hint="eastAsia" w:ascii="宋体" w:hAnsi="宋体" w:cs="宋体"/>
                <w:bCs/>
                <w:color w:val="auto"/>
                <w:sz w:val="24"/>
                <w:highlight w:val="none"/>
                <w:lang w:eastAsia="zh-CN"/>
              </w:rPr>
              <w:t>无锡市文华路199号餐厅；</w:t>
            </w:r>
          </w:p>
          <w:p w14:paraId="4B720B38">
            <w:pPr>
              <w:shd w:val="clear" w:color="auto"/>
              <w:spacing w:line="360" w:lineRule="auto"/>
              <w:rPr>
                <w:rFonts w:hint="eastAsia" w:ascii="宋体" w:hAnsi="宋体" w:cs="宋体"/>
                <w:bCs/>
                <w:color w:val="auto"/>
                <w:sz w:val="24"/>
                <w:highlight w:val="none"/>
                <w:lang w:eastAsia="zh-CN"/>
              </w:rPr>
            </w:pPr>
            <w:r>
              <w:rPr>
                <w:rFonts w:hint="eastAsia" w:ascii="宋体" w:hAnsi="宋体" w:cs="宋体"/>
                <w:color w:val="auto"/>
                <w:sz w:val="24"/>
                <w:highlight w:val="none"/>
                <w:lang w:val="zh-CN"/>
              </w:rPr>
              <w:t>（</w:t>
            </w:r>
            <w:r>
              <w:rPr>
                <w:rFonts w:hint="eastAsia" w:ascii="宋体" w:hAnsi="宋体" w:cs="宋体"/>
                <w:color w:val="auto"/>
                <w:sz w:val="24"/>
                <w:highlight w:val="none"/>
              </w:rPr>
              <w:t>3</w:t>
            </w:r>
            <w:r>
              <w:rPr>
                <w:rFonts w:hint="eastAsia" w:ascii="宋体" w:hAnsi="宋体" w:cs="宋体"/>
                <w:color w:val="auto"/>
                <w:sz w:val="24"/>
                <w:highlight w:val="none"/>
                <w:lang w:val="zh-CN"/>
              </w:rPr>
              <w:t>）</w:t>
            </w:r>
            <w:r>
              <w:rPr>
                <w:rFonts w:hint="eastAsia" w:ascii="宋体" w:hAnsi="宋体" w:cs="宋体"/>
                <w:bCs/>
                <w:color w:val="auto"/>
                <w:sz w:val="24"/>
                <w:highlight w:val="none"/>
              </w:rPr>
              <w:t>采购预算：</w:t>
            </w:r>
            <w:r>
              <w:rPr>
                <w:rFonts w:hint="eastAsia" w:ascii="宋体" w:hAnsi="宋体" w:cs="宋体"/>
                <w:bCs/>
                <w:color w:val="auto"/>
                <w:sz w:val="24"/>
                <w:highlight w:val="none"/>
                <w:lang w:eastAsia="zh-CN"/>
              </w:rPr>
              <w:t>343.95</w:t>
            </w:r>
            <w:r>
              <w:rPr>
                <w:rFonts w:hint="eastAsia" w:ascii="宋体" w:hAnsi="宋体" w:cs="宋体"/>
                <w:bCs/>
                <w:color w:val="auto"/>
                <w:sz w:val="24"/>
                <w:highlight w:val="none"/>
              </w:rPr>
              <w:t>万元</w:t>
            </w:r>
            <w:r>
              <w:rPr>
                <w:rFonts w:hint="eastAsia" w:ascii="宋体" w:hAnsi="宋体" w:cs="宋体"/>
                <w:bCs/>
                <w:color w:val="auto"/>
                <w:sz w:val="24"/>
                <w:highlight w:val="none"/>
                <w:lang w:eastAsia="zh-CN"/>
              </w:rPr>
              <w:t>（114.65万/年）；</w:t>
            </w:r>
          </w:p>
          <w:p w14:paraId="12AD5317">
            <w:pPr>
              <w:shd w:val="clear" w:color="auto"/>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lang w:eastAsia="zh-CN"/>
              </w:rPr>
              <w:t>）最高限价：343.95万元（114.65万/年）；</w:t>
            </w:r>
          </w:p>
          <w:p w14:paraId="474B8483">
            <w:pPr>
              <w:shd w:val="clear" w:color="auto"/>
              <w:spacing w:line="360" w:lineRule="auto"/>
              <w:rPr>
                <w:rFonts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rPr>
              <w:t>）服务期：</w:t>
            </w:r>
            <w:r>
              <w:rPr>
                <w:rFonts w:hint="eastAsia" w:ascii="宋体" w:hAnsi="宋体" w:cs="宋体"/>
                <w:bCs/>
                <w:color w:val="auto"/>
                <w:sz w:val="24"/>
                <w:highlight w:val="none"/>
                <w:lang w:eastAsia="zh-CN"/>
              </w:rPr>
              <w:t>3年（自合同签订之日起）</w:t>
            </w:r>
            <w:r>
              <w:rPr>
                <w:rFonts w:hint="eastAsia" w:ascii="宋体" w:hAnsi="宋体" w:cs="宋体"/>
                <w:bCs/>
                <w:color w:val="auto"/>
                <w:sz w:val="24"/>
                <w:highlight w:val="none"/>
              </w:rPr>
              <w:t>。</w:t>
            </w:r>
          </w:p>
          <w:p w14:paraId="53ABD56B">
            <w:pPr>
              <w:shd w:val="clear" w:color="auto"/>
              <w:spacing w:line="360" w:lineRule="auto"/>
              <w:rPr>
                <w:rFonts w:ascii="宋体" w:hAnsi="宋体" w:cs="宋体"/>
                <w:color w:val="auto"/>
                <w:sz w:val="24"/>
                <w:highlight w:val="none"/>
                <w:lang w:val="zh-CN"/>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rPr>
              <w:t>）本项目是否专门面向中小企业：是；</w:t>
            </w:r>
          </w:p>
          <w:p w14:paraId="260AF813">
            <w:pPr>
              <w:shd w:val="clear" w:color="auto"/>
              <w:spacing w:line="360" w:lineRule="auto"/>
              <w:rPr>
                <w:rFonts w:ascii="宋体" w:hAnsi="宋体" w:cs="宋体"/>
                <w:color w:val="auto"/>
                <w:highlight w:val="none"/>
              </w:rPr>
            </w:pPr>
            <w:r>
              <w:rPr>
                <w:rFonts w:hint="eastAsia" w:ascii="宋体" w:hAnsi="宋体" w:cs="宋体"/>
                <w:color w:val="auto"/>
                <w:sz w:val="24"/>
                <w:highlight w:val="none"/>
                <w:lang w:val="zh-CN"/>
              </w:rPr>
              <w:t>（</w:t>
            </w:r>
            <w:r>
              <w:rPr>
                <w:rFonts w:hint="eastAsia" w:ascii="宋体" w:hAnsi="宋体" w:cs="宋体"/>
                <w:color w:val="auto"/>
                <w:sz w:val="24"/>
                <w:highlight w:val="none"/>
                <w:lang w:val="en-US" w:eastAsia="zh-CN"/>
              </w:rPr>
              <w:t>7</w:t>
            </w:r>
            <w:r>
              <w:rPr>
                <w:rFonts w:hint="eastAsia" w:ascii="宋体" w:hAnsi="宋体" w:cs="宋体"/>
                <w:color w:val="auto"/>
                <w:sz w:val="24"/>
                <w:highlight w:val="none"/>
                <w:lang w:val="zh-CN"/>
              </w:rPr>
              <w:t>）</w:t>
            </w:r>
            <w:r>
              <w:rPr>
                <w:rFonts w:hint="eastAsia" w:ascii="宋体" w:hAnsi="宋体" w:cs="宋体"/>
                <w:b/>
                <w:bCs/>
                <w:color w:val="auto"/>
                <w:sz w:val="24"/>
                <w:highlight w:val="none"/>
              </w:rPr>
              <w:t>本项目采购标的所属行业：餐饮业。</w:t>
            </w:r>
            <w:r>
              <w:rPr>
                <w:rFonts w:hint="eastAsia" w:ascii="宋体" w:hAnsi="宋体"/>
                <w:color w:val="auto"/>
                <w:sz w:val="24"/>
                <w:highlight w:val="none"/>
              </w:rPr>
              <w:t>根据《中小企业划型标准规定》工信部联企业〔2011〕300号规定，</w:t>
            </w:r>
            <w:r>
              <w:rPr>
                <w:rFonts w:hint="eastAsia" w:ascii="宋体" w:hAnsi="宋体" w:cs="宋体"/>
                <w:color w:val="auto"/>
                <w:sz w:val="24"/>
                <w:highlight w:val="none"/>
              </w:rPr>
              <w:t>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tc>
      </w:tr>
      <w:tr w14:paraId="6AD6A4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667" w:type="dxa"/>
            <w:noWrap w:val="0"/>
            <w:vAlign w:val="center"/>
          </w:tcPr>
          <w:p w14:paraId="48EF052B">
            <w:pPr>
              <w:shd w:val="clear" w:color="auto"/>
              <w:spacing w:line="360" w:lineRule="auto"/>
              <w:jc w:val="center"/>
              <w:rPr>
                <w:rFonts w:ascii="宋体" w:hAnsi="宋体" w:cs="宋体"/>
                <w:bCs/>
                <w:color w:val="auto"/>
                <w:sz w:val="24"/>
                <w:highlight w:val="none"/>
              </w:rPr>
            </w:pPr>
            <w:r>
              <w:rPr>
                <w:rFonts w:hint="eastAsia" w:ascii="宋体" w:hAnsi="宋体" w:cs="宋体"/>
                <w:bCs/>
                <w:color w:val="auto"/>
                <w:sz w:val="24"/>
                <w:highlight w:val="none"/>
              </w:rPr>
              <w:t>4</w:t>
            </w:r>
          </w:p>
        </w:tc>
        <w:tc>
          <w:tcPr>
            <w:tcW w:w="8685" w:type="dxa"/>
            <w:noWrap w:val="0"/>
            <w:vAlign w:val="center"/>
          </w:tcPr>
          <w:p w14:paraId="14FF63D8">
            <w:pPr>
              <w:shd w:val="clear" w:color="auto"/>
              <w:spacing w:line="410" w:lineRule="exact"/>
              <w:rPr>
                <w:rFonts w:ascii="宋体" w:hAnsi="宋体" w:cs="宋体"/>
                <w:bCs/>
                <w:color w:val="auto"/>
                <w:sz w:val="24"/>
                <w:highlight w:val="none"/>
              </w:rPr>
            </w:pPr>
            <w:r>
              <w:rPr>
                <w:rFonts w:hint="eastAsia" w:ascii="宋体" w:hAnsi="宋体" w:cs="宋体"/>
                <w:b/>
                <w:bCs/>
                <w:color w:val="auto"/>
                <w:sz w:val="24"/>
                <w:highlight w:val="none"/>
              </w:rPr>
              <w:t>投标供应商资格要求</w:t>
            </w:r>
            <w:r>
              <w:rPr>
                <w:rFonts w:hint="eastAsia" w:ascii="宋体" w:hAnsi="宋体" w:cs="宋体"/>
                <w:bCs/>
                <w:color w:val="auto"/>
                <w:sz w:val="24"/>
                <w:highlight w:val="none"/>
              </w:rPr>
              <w:t>：</w:t>
            </w:r>
          </w:p>
          <w:p w14:paraId="6D46E6CD">
            <w:pPr>
              <w:shd w:val="clear" w:color="auto"/>
              <w:spacing w:line="410" w:lineRule="exact"/>
              <w:ind w:firstLine="482"/>
              <w:rPr>
                <w:rFonts w:ascii="宋体" w:hAnsi="宋体" w:cs="宋体"/>
                <w:b/>
                <w:bCs/>
                <w:color w:val="auto"/>
                <w:sz w:val="24"/>
                <w:szCs w:val="21"/>
                <w:highlight w:val="none"/>
              </w:rPr>
            </w:pPr>
            <w:r>
              <w:rPr>
                <w:rFonts w:hint="eastAsia" w:ascii="宋体" w:hAnsi="宋体" w:cs="宋体"/>
                <w:b/>
                <w:bCs/>
                <w:color w:val="auto"/>
                <w:sz w:val="24"/>
                <w:szCs w:val="21"/>
                <w:highlight w:val="none"/>
              </w:rPr>
              <w:t>1.符合政府采购法第二十二条第一款规定的条件，并依照政府采购法实施条例第十七条规定提供材料：</w:t>
            </w:r>
          </w:p>
          <w:p w14:paraId="2B9E461E">
            <w:pPr>
              <w:shd w:val="clear" w:color="auto"/>
              <w:spacing w:line="410" w:lineRule="exact"/>
              <w:ind w:firstLine="381"/>
              <w:rPr>
                <w:rFonts w:ascii="宋体" w:hAnsi="宋体" w:cs="宋体"/>
                <w:bCs/>
                <w:color w:val="auto"/>
                <w:sz w:val="24"/>
                <w:highlight w:val="none"/>
              </w:rPr>
            </w:pPr>
            <w:r>
              <w:rPr>
                <w:rFonts w:hint="eastAsia" w:ascii="宋体" w:hAnsi="宋体" w:cs="宋体"/>
                <w:bCs/>
                <w:color w:val="auto"/>
                <w:sz w:val="24"/>
                <w:highlight w:val="none"/>
              </w:rPr>
              <w:t>（1）投标供应商应为中华人民共和国境内合法注册，具有独立法人资格的法人、其他组织或者自然人；[提供营业执照等证明文件]</w:t>
            </w:r>
          </w:p>
          <w:p w14:paraId="141854DB">
            <w:pPr>
              <w:shd w:val="clear" w:color="auto"/>
              <w:spacing w:line="410" w:lineRule="exact"/>
              <w:ind w:firstLine="381"/>
              <w:rPr>
                <w:rFonts w:ascii="宋体" w:hAnsi="宋体" w:cs="宋体"/>
                <w:bCs/>
                <w:color w:val="auto"/>
                <w:sz w:val="24"/>
                <w:highlight w:val="none"/>
              </w:rPr>
            </w:pPr>
            <w:r>
              <w:rPr>
                <w:rFonts w:hint="eastAsia" w:ascii="宋体" w:hAnsi="宋体" w:cs="宋体"/>
                <w:bCs/>
                <w:color w:val="auto"/>
                <w:sz w:val="24"/>
                <w:highlight w:val="none"/>
              </w:rPr>
              <w:t>（2）具有良好的商业信誉和健全的财务会计制度；[提供近一年中任意一个月份（不含投标当月）的财务状况报告（资产负债表和利润表）]</w:t>
            </w:r>
          </w:p>
          <w:p w14:paraId="71768652">
            <w:pPr>
              <w:shd w:val="clear" w:color="auto"/>
              <w:spacing w:line="410" w:lineRule="exact"/>
              <w:ind w:firstLine="381"/>
              <w:rPr>
                <w:rFonts w:ascii="宋体" w:hAnsi="宋体" w:cs="宋体"/>
                <w:bCs/>
                <w:color w:val="auto"/>
                <w:sz w:val="24"/>
                <w:highlight w:val="none"/>
              </w:rPr>
            </w:pPr>
            <w:r>
              <w:rPr>
                <w:rFonts w:hint="eastAsia" w:ascii="宋体" w:hAnsi="宋体" w:cs="宋体"/>
                <w:bCs/>
                <w:color w:val="auto"/>
                <w:sz w:val="24"/>
                <w:highlight w:val="none"/>
              </w:rPr>
              <w:t>（3）具有依法缴纳税收和社会保障资金的良好记录；[提供近一年中任意一个月份（不含投标当月）的依法缴纳税收和社会保障资金的相关材料提供相关主管部门证明或银行代扣证明，或者提供依法免税的主管部门出具的相应证明材料、不需要缴纳社会保障资金的主管部门出具的证明材料]</w:t>
            </w:r>
          </w:p>
          <w:p w14:paraId="7042B06D">
            <w:pPr>
              <w:shd w:val="clear" w:color="auto"/>
              <w:spacing w:line="410" w:lineRule="exact"/>
              <w:ind w:firstLine="482"/>
              <w:rPr>
                <w:rFonts w:hint="eastAsia" w:ascii="宋体" w:hAnsi="宋体" w:cs="宋体"/>
                <w:bCs/>
                <w:color w:val="auto"/>
                <w:sz w:val="24"/>
                <w:highlight w:val="none"/>
              </w:rPr>
            </w:pPr>
            <w:r>
              <w:rPr>
                <w:rFonts w:hint="eastAsia" w:ascii="宋体" w:hAnsi="宋体" w:cs="宋体"/>
                <w:b/>
                <w:bCs/>
                <w:color w:val="auto"/>
                <w:sz w:val="24"/>
                <w:highlight w:val="none"/>
              </w:rPr>
              <w:t>2.落实政府采购政策需满足的资格要求：</w:t>
            </w:r>
            <w:r>
              <w:rPr>
                <w:rFonts w:hint="eastAsia" w:ascii="宋体" w:hAnsi="宋体" w:cs="宋体"/>
                <w:bCs/>
                <w:color w:val="auto"/>
                <w:sz w:val="24"/>
                <w:highlight w:val="none"/>
              </w:rPr>
              <w:t>本项目</w:t>
            </w:r>
            <w:r>
              <w:rPr>
                <w:rFonts w:hint="eastAsia" w:ascii="宋体" w:hAnsi="宋体" w:cs="宋体"/>
                <w:bCs/>
                <w:color w:val="auto"/>
                <w:sz w:val="24"/>
                <w:highlight w:val="none"/>
                <w:lang w:val="en-US" w:eastAsia="zh-CN"/>
              </w:rPr>
              <w:t>专门</w:t>
            </w:r>
            <w:r>
              <w:rPr>
                <w:rFonts w:hint="eastAsia" w:ascii="宋体" w:hAnsi="宋体" w:cs="宋体"/>
                <w:bCs/>
                <w:color w:val="auto"/>
                <w:sz w:val="24"/>
                <w:highlight w:val="none"/>
              </w:rPr>
              <w:t>面向中小微企业采购</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供应商</w:t>
            </w:r>
            <w:r>
              <w:rPr>
                <w:rFonts w:hint="eastAsia" w:ascii="宋体" w:hAnsi="宋体" w:cs="宋体"/>
                <w:bCs/>
                <w:color w:val="auto"/>
                <w:sz w:val="24"/>
                <w:highlight w:val="none"/>
                <w:lang w:val="en-US" w:eastAsia="zh-CN"/>
              </w:rPr>
              <w:t>应</w:t>
            </w:r>
            <w:r>
              <w:rPr>
                <w:rFonts w:hint="eastAsia" w:ascii="宋体" w:hAnsi="宋体" w:cs="宋体"/>
                <w:bCs/>
                <w:color w:val="auto"/>
                <w:sz w:val="24"/>
                <w:highlight w:val="none"/>
              </w:rPr>
              <w:t>为中型企业/小型企业/微型企业（监狱企业/残疾人福利性单位视同小微企业）。</w:t>
            </w:r>
          </w:p>
          <w:p w14:paraId="344137D0">
            <w:pPr>
              <w:shd w:val="clear" w:color="auto"/>
              <w:spacing w:line="410" w:lineRule="exact"/>
              <w:ind w:firstLine="482"/>
              <w:rPr>
                <w:rFonts w:ascii="宋体" w:hAnsi="宋体" w:cs="宋体"/>
                <w:b/>
                <w:bCs/>
                <w:color w:val="auto"/>
                <w:sz w:val="24"/>
                <w:highlight w:val="none"/>
              </w:rPr>
            </w:pPr>
            <w:r>
              <w:rPr>
                <w:rFonts w:hint="eastAsia" w:ascii="宋体" w:hAnsi="宋体" w:cs="宋体"/>
                <w:b/>
                <w:bCs/>
                <w:color w:val="auto"/>
                <w:sz w:val="24"/>
                <w:highlight w:val="none"/>
              </w:rPr>
              <w:t>3.特定资格要求：</w:t>
            </w:r>
          </w:p>
          <w:p w14:paraId="66897829">
            <w:pPr>
              <w:shd w:val="clear" w:color="auto"/>
              <w:spacing w:line="410" w:lineRule="exact"/>
              <w:ind w:firstLine="309"/>
              <w:rPr>
                <w:rFonts w:hint="eastAsia" w:ascii="宋体" w:hAnsi="宋体" w:cs="宋体"/>
                <w:bCs/>
                <w:color w:val="auto"/>
                <w:sz w:val="24"/>
                <w:highlight w:val="none"/>
              </w:rPr>
            </w:pPr>
            <w:bookmarkStart w:id="1" w:name="_Hlk46833112"/>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）投标供应商授权</w:t>
            </w:r>
            <w:r>
              <w:rPr>
                <w:rFonts w:hint="eastAsia" w:ascii="宋体" w:hAnsi="宋体" w:cs="宋体"/>
                <w:bCs/>
                <w:color w:val="auto"/>
                <w:sz w:val="24"/>
                <w:highlight w:val="none"/>
                <w:lang w:val="en-US" w:eastAsia="zh-CN"/>
              </w:rPr>
              <w:t>委托人</w:t>
            </w:r>
            <w:r>
              <w:rPr>
                <w:rFonts w:hint="eastAsia" w:ascii="宋体" w:hAnsi="宋体" w:cs="宋体"/>
                <w:bCs/>
                <w:color w:val="auto"/>
                <w:sz w:val="24"/>
                <w:highlight w:val="none"/>
              </w:rPr>
              <w:t>必须为投标供应商企业在职员工，需提供由法定的社保收缴部门出具的近一年中任意一个月（不含投标当月）的投标供应商依法为其缴纳社会保险证明</w:t>
            </w:r>
            <w:r>
              <w:rPr>
                <w:rFonts w:hint="eastAsia" w:ascii="宋体" w:hAnsi="宋体" w:cs="宋体"/>
                <w:b/>
                <w:bCs/>
                <w:color w:val="auto"/>
                <w:sz w:val="24"/>
                <w:highlight w:val="none"/>
              </w:rPr>
              <w:t>（由相关主管部门出具，如投标供应商成立时间迟于要求开始的时间，则时间要求为投标供应商成立时间至截止时间；法定代表人亲自参加投标的除外；社保缴费证明必须提交带有社保部门红章的或含有县（区）级及以上社保部门电子签章或带二维码验证的打印件）</w:t>
            </w:r>
            <w:r>
              <w:rPr>
                <w:rFonts w:hint="eastAsia" w:ascii="宋体" w:hAnsi="宋体" w:cs="宋体"/>
                <w:bCs/>
                <w:color w:val="auto"/>
                <w:sz w:val="24"/>
                <w:highlight w:val="none"/>
              </w:rPr>
              <w:t>；</w:t>
            </w:r>
            <w:bookmarkEnd w:id="1"/>
          </w:p>
          <w:p w14:paraId="165B8B88">
            <w:pPr>
              <w:shd w:val="clear" w:color="auto"/>
              <w:spacing w:line="410" w:lineRule="exact"/>
              <w:ind w:firstLine="309"/>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（2）未被“信用中国”网站（</w:t>
            </w:r>
            <w:r>
              <w:rPr>
                <w:rFonts w:hint="eastAsia" w:ascii="宋体" w:hAnsi="宋体" w:cs="宋体"/>
                <w:bCs/>
                <w:color w:val="auto"/>
                <w:sz w:val="24"/>
                <w:highlight w:val="none"/>
                <w:lang w:val="en-US" w:eastAsia="zh-CN"/>
              </w:rPr>
              <w:fldChar w:fldCharType="begin"/>
            </w:r>
            <w:r>
              <w:rPr>
                <w:rFonts w:hint="eastAsia" w:ascii="宋体" w:hAnsi="宋体" w:cs="宋体"/>
                <w:bCs/>
                <w:color w:val="auto"/>
                <w:sz w:val="24"/>
                <w:highlight w:val="none"/>
                <w:lang w:val="en-US" w:eastAsia="zh-CN"/>
              </w:rPr>
              <w:instrText xml:space="preserve"> HYPERLINK "http://www.creditchina.gov.cn" </w:instrText>
            </w:r>
            <w:r>
              <w:rPr>
                <w:rFonts w:hint="eastAsia" w:ascii="宋体" w:hAnsi="宋体" w:cs="宋体"/>
                <w:bCs/>
                <w:color w:val="auto"/>
                <w:sz w:val="24"/>
                <w:highlight w:val="none"/>
                <w:lang w:val="en-US" w:eastAsia="zh-CN"/>
              </w:rPr>
              <w:fldChar w:fldCharType="separate"/>
            </w:r>
            <w:r>
              <w:rPr>
                <w:rFonts w:hint="eastAsia" w:ascii="宋体" w:hAnsi="宋体" w:cs="宋体"/>
                <w:bCs/>
                <w:color w:val="auto"/>
                <w:sz w:val="24"/>
                <w:highlight w:val="none"/>
                <w:lang w:val="en-US" w:eastAsia="zh-CN"/>
              </w:rPr>
              <w:t>www.creditchina.gov.cn</w:t>
            </w:r>
            <w:r>
              <w:rPr>
                <w:rFonts w:hint="eastAsia" w:ascii="宋体" w:hAnsi="宋体" w:cs="宋体"/>
                <w:bCs/>
                <w:color w:val="auto"/>
                <w:sz w:val="24"/>
                <w:highlight w:val="none"/>
                <w:lang w:val="en-US" w:eastAsia="zh-CN"/>
              </w:rPr>
              <w:fldChar w:fldCharType="end"/>
            </w:r>
            <w:r>
              <w:rPr>
                <w:rFonts w:hint="eastAsia" w:ascii="宋体" w:hAnsi="宋体" w:cs="宋体"/>
                <w:bCs/>
                <w:color w:val="auto"/>
                <w:sz w:val="24"/>
                <w:highlight w:val="none"/>
                <w:lang w:val="en-US" w:eastAsia="zh-CN"/>
              </w:rPr>
              <w:t>）、</w:t>
            </w:r>
            <w:r>
              <w:rPr>
                <w:rFonts w:hint="eastAsia" w:ascii="宋体" w:hAnsi="宋体" w:cs="宋体"/>
                <w:color w:val="auto"/>
                <w:sz w:val="24"/>
                <w:highlight w:val="none"/>
              </w:rPr>
              <w:t>中国政府采购网(www.ccgp.gov.cn)</w:t>
            </w:r>
            <w:r>
              <w:rPr>
                <w:rFonts w:hint="eastAsia" w:ascii="宋体" w:hAnsi="宋体" w:cs="宋体"/>
                <w:bCs/>
                <w:color w:val="auto"/>
                <w:sz w:val="24"/>
                <w:highlight w:val="none"/>
                <w:lang w:val="en-US" w:eastAsia="zh-CN"/>
              </w:rPr>
              <w:t>列入失信被执行人、重大税收违法案件失信主体、政府采购严重失信行为记录名单。</w:t>
            </w:r>
          </w:p>
          <w:p w14:paraId="0C7DAFC4">
            <w:pPr>
              <w:widowControl/>
              <w:shd w:val="clear" w:color="auto"/>
              <w:spacing w:line="410" w:lineRule="exact"/>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390FC039">
            <w:pPr>
              <w:widowControl/>
              <w:shd w:val="clear" w:color="auto"/>
              <w:spacing w:line="410" w:lineRule="exact"/>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5C5A8439">
            <w:pPr>
              <w:widowControl/>
              <w:shd w:val="clear" w:color="auto"/>
              <w:spacing w:line="410" w:lineRule="exact"/>
              <w:ind w:firstLine="482"/>
              <w:rPr>
                <w:rFonts w:ascii="宋体" w:hAnsi="宋体" w:cs="宋体"/>
                <w:color w:val="auto"/>
                <w:highlight w:val="none"/>
              </w:rPr>
            </w:pPr>
            <w:r>
              <w:rPr>
                <w:rFonts w:hint="eastAsia" w:ascii="宋体" w:hAnsi="宋体" w:eastAsia="宋体" w:cs="宋体"/>
                <w:b/>
                <w:bCs/>
                <w:color w:val="auto"/>
                <w:sz w:val="24"/>
                <w:highlight w:val="none"/>
              </w:rPr>
              <w:t>4.本项目不接受联合体投标。</w:t>
            </w:r>
          </w:p>
        </w:tc>
      </w:tr>
      <w:tr w14:paraId="4AD08C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trPr>
        <w:tc>
          <w:tcPr>
            <w:tcW w:w="667" w:type="dxa"/>
            <w:noWrap w:val="0"/>
            <w:vAlign w:val="center"/>
          </w:tcPr>
          <w:p w14:paraId="1E2393E9">
            <w:pPr>
              <w:shd w:val="clear" w:color="auto"/>
              <w:spacing w:line="360" w:lineRule="auto"/>
              <w:jc w:val="center"/>
              <w:rPr>
                <w:rFonts w:ascii="宋体" w:hAnsi="宋体" w:cs="宋体"/>
                <w:bCs/>
                <w:color w:val="auto"/>
                <w:sz w:val="24"/>
                <w:highlight w:val="none"/>
              </w:rPr>
            </w:pPr>
            <w:r>
              <w:rPr>
                <w:rFonts w:hint="eastAsia" w:ascii="宋体" w:hAnsi="宋体" w:cs="宋体"/>
                <w:bCs/>
                <w:color w:val="auto"/>
                <w:sz w:val="24"/>
                <w:highlight w:val="none"/>
              </w:rPr>
              <w:t>5</w:t>
            </w:r>
          </w:p>
        </w:tc>
        <w:tc>
          <w:tcPr>
            <w:tcW w:w="8685" w:type="dxa"/>
            <w:noWrap w:val="0"/>
            <w:vAlign w:val="center"/>
          </w:tcPr>
          <w:p w14:paraId="6D274B90">
            <w:pPr>
              <w:shd w:val="clear" w:color="auto"/>
              <w:spacing w:line="360" w:lineRule="auto"/>
              <w:rPr>
                <w:rFonts w:ascii="宋体" w:hAnsi="宋体" w:cs="宋体"/>
                <w:color w:val="auto"/>
                <w:sz w:val="24"/>
                <w:highlight w:val="none"/>
              </w:rPr>
            </w:pPr>
            <w:r>
              <w:rPr>
                <w:rFonts w:hint="eastAsia" w:ascii="宋体" w:hAnsi="宋体" w:cs="宋体"/>
                <w:color w:val="auto"/>
                <w:sz w:val="24"/>
                <w:highlight w:val="none"/>
              </w:rPr>
              <w:t>资金来源：财政资金</w:t>
            </w:r>
          </w:p>
        </w:tc>
      </w:tr>
      <w:tr w14:paraId="57040E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trPr>
        <w:tc>
          <w:tcPr>
            <w:tcW w:w="667" w:type="dxa"/>
            <w:noWrap w:val="0"/>
            <w:vAlign w:val="center"/>
          </w:tcPr>
          <w:p w14:paraId="79996E1A">
            <w:pPr>
              <w:shd w:val="clear" w:color="auto"/>
              <w:spacing w:line="360" w:lineRule="auto"/>
              <w:jc w:val="center"/>
              <w:rPr>
                <w:rFonts w:ascii="宋体" w:hAnsi="宋体" w:cs="宋体"/>
                <w:bCs/>
                <w:color w:val="auto"/>
                <w:sz w:val="24"/>
                <w:highlight w:val="none"/>
              </w:rPr>
            </w:pPr>
            <w:r>
              <w:rPr>
                <w:rFonts w:hint="eastAsia" w:ascii="宋体" w:hAnsi="宋体" w:cs="宋体"/>
                <w:bCs/>
                <w:color w:val="auto"/>
                <w:sz w:val="24"/>
                <w:highlight w:val="none"/>
              </w:rPr>
              <w:t>6</w:t>
            </w:r>
          </w:p>
        </w:tc>
        <w:tc>
          <w:tcPr>
            <w:tcW w:w="8685" w:type="dxa"/>
            <w:noWrap w:val="0"/>
          </w:tcPr>
          <w:p w14:paraId="501EB638">
            <w:pPr>
              <w:widowControl/>
              <w:shd w:val="clear" w:color="auto"/>
              <w:spacing w:line="360" w:lineRule="auto"/>
              <w:rPr>
                <w:rFonts w:ascii="宋体" w:hAnsi="宋体" w:cs="宋体"/>
                <w:b/>
                <w:bCs/>
                <w:color w:val="auto"/>
                <w:sz w:val="24"/>
                <w:highlight w:val="none"/>
              </w:rPr>
            </w:pPr>
            <w:r>
              <w:rPr>
                <w:rFonts w:hint="eastAsia" w:ascii="宋体" w:hAnsi="宋体" w:cs="宋体"/>
                <w:b/>
                <w:bCs/>
                <w:color w:val="auto"/>
                <w:sz w:val="24"/>
                <w:highlight w:val="none"/>
              </w:rPr>
              <w:t>采购文件获取信息：</w:t>
            </w:r>
          </w:p>
          <w:p w14:paraId="0FE22C0B">
            <w:pPr>
              <w:pStyle w:val="226"/>
              <w:shd w:val="clear" w:color="auto"/>
              <w:spacing w:line="360" w:lineRule="auto"/>
              <w:rPr>
                <w:rFonts w:hAnsi="宋体" w:cs="宋体"/>
                <w:bCs/>
                <w:color w:val="auto"/>
                <w:szCs w:val="24"/>
                <w:highlight w:val="none"/>
              </w:rPr>
            </w:pPr>
            <w:r>
              <w:rPr>
                <w:rFonts w:hint="eastAsia" w:hAnsi="宋体" w:cs="宋体"/>
                <w:bCs/>
                <w:color w:val="auto"/>
                <w:szCs w:val="24"/>
                <w:highlight w:val="none"/>
              </w:rPr>
              <w:t>1、</w:t>
            </w:r>
            <w:r>
              <w:rPr>
                <w:rFonts w:hint="eastAsia" w:hAnsi="宋体" w:cs="宋体"/>
                <w:color w:val="auto"/>
                <w:highlight w:val="none"/>
              </w:rPr>
              <w:t>采购</w:t>
            </w:r>
            <w:r>
              <w:rPr>
                <w:rFonts w:hint="eastAsia" w:hAnsi="宋体" w:cs="宋体"/>
                <w:bCs/>
                <w:color w:val="auto"/>
                <w:szCs w:val="24"/>
                <w:highlight w:val="none"/>
              </w:rPr>
              <w:t>文件获取期限：</w:t>
            </w:r>
            <w:r>
              <w:rPr>
                <w:rFonts w:hint="eastAsia" w:hAnsi="宋体" w:cs="宋体"/>
                <w:color w:val="auto"/>
                <w:highlight w:val="none"/>
              </w:rPr>
              <w:t>公告发布之日起五个工作日内（法定假日除外）。五个工作日后仍可下载采购文件，但不作为供应商权益受到损害的证明材料和依据。</w:t>
            </w:r>
          </w:p>
          <w:p w14:paraId="0E18A758">
            <w:pPr>
              <w:pStyle w:val="226"/>
              <w:shd w:val="clear" w:color="auto"/>
              <w:spacing w:line="360" w:lineRule="auto"/>
              <w:rPr>
                <w:rFonts w:hAnsi="宋体" w:cs="宋体"/>
                <w:bCs/>
                <w:color w:val="auto"/>
                <w:szCs w:val="24"/>
                <w:highlight w:val="none"/>
              </w:rPr>
            </w:pPr>
            <w:r>
              <w:rPr>
                <w:rFonts w:hint="eastAsia" w:hAnsi="宋体" w:cs="宋体"/>
                <w:bCs/>
                <w:color w:val="auto"/>
                <w:szCs w:val="24"/>
                <w:highlight w:val="none"/>
              </w:rPr>
              <w:t>2、获取方式：</w:t>
            </w:r>
            <w:r>
              <w:rPr>
                <w:rFonts w:hint="eastAsia" w:hAnsi="宋体" w:cs="宋体"/>
                <w:color w:val="auto"/>
                <w:highlight w:val="none"/>
              </w:rPr>
              <w:t>本项目采用网上注册登记方式，网上注册登记成功后系统内免费下载。</w:t>
            </w:r>
          </w:p>
          <w:p w14:paraId="629D1E5F">
            <w:pPr>
              <w:shd w:val="clear" w:color="auto"/>
              <w:spacing w:line="360" w:lineRule="auto"/>
              <w:rPr>
                <w:rFonts w:ascii="宋体" w:hAnsi="宋体" w:cs="宋体"/>
                <w:bCs/>
                <w:color w:val="auto"/>
                <w:highlight w:val="none"/>
              </w:rPr>
            </w:pPr>
            <w:r>
              <w:rPr>
                <w:rFonts w:hint="eastAsia" w:ascii="宋体" w:hAnsi="宋体" w:cs="宋体"/>
                <w:bCs/>
                <w:color w:val="auto"/>
                <w:sz w:val="24"/>
                <w:highlight w:val="none"/>
              </w:rPr>
              <w:t>3、潜在</w:t>
            </w:r>
            <w:r>
              <w:rPr>
                <w:rFonts w:hint="eastAsia" w:ascii="宋体" w:hAnsi="宋体" w:cs="宋体"/>
                <w:color w:val="auto"/>
                <w:sz w:val="24"/>
                <w:highlight w:val="none"/>
              </w:rPr>
              <w:t>投标供应商如确定投标，可在“江苏政府采购网--苏采云”（苏采云平台（http://jszfcg.jsczt.cn/jszc/login?）中免费下载采购文件（具体操作流程详见《“苏采云”系统供应商操作手册》），完成项目采购文件获取，方可按要求制作、上传投标文件，对采购文件各项内容做出实质性响应，否则其投标文件无效。</w:t>
            </w:r>
          </w:p>
          <w:p w14:paraId="0A0AEB2B">
            <w:pPr>
              <w:pStyle w:val="226"/>
              <w:shd w:val="clear" w:color="auto"/>
              <w:spacing w:line="360" w:lineRule="auto"/>
              <w:jc w:val="left"/>
              <w:rPr>
                <w:rFonts w:hAnsi="宋体" w:cs="宋体"/>
                <w:bCs/>
                <w:color w:val="auto"/>
                <w:szCs w:val="24"/>
                <w:highlight w:val="none"/>
              </w:rPr>
            </w:pPr>
            <w:r>
              <w:rPr>
                <w:rFonts w:hint="eastAsia" w:hAnsi="宋体" w:cs="宋体"/>
                <w:bCs/>
                <w:color w:val="auto"/>
                <w:highlight w:val="none"/>
              </w:rPr>
              <w:t>4、</w:t>
            </w:r>
            <w:r>
              <w:rPr>
                <w:rFonts w:hint="eastAsia" w:hAnsi="宋体" w:cs="宋体"/>
                <w:color w:val="auto"/>
                <w:highlight w:val="none"/>
              </w:rPr>
              <w:t>投标</w:t>
            </w:r>
            <w:r>
              <w:rPr>
                <w:rFonts w:hint="eastAsia" w:hAnsi="宋体" w:cs="宋体"/>
                <w:bCs/>
                <w:color w:val="auto"/>
                <w:szCs w:val="24"/>
                <w:highlight w:val="none"/>
              </w:rPr>
              <w:t>供应商应承担其编制投标文件以及递交投标文件所涉及的一切费用。无论投标结果如何，采购人对上述费用不负任何责任。</w:t>
            </w:r>
          </w:p>
          <w:p w14:paraId="1E4F9065">
            <w:pPr>
              <w:widowControl/>
              <w:shd w:val="clear" w:color="auto"/>
              <w:spacing w:line="360" w:lineRule="auto"/>
              <w:rPr>
                <w:rFonts w:ascii="宋体" w:hAnsi="宋体" w:cs="宋体"/>
                <w:bCs/>
                <w:color w:val="auto"/>
                <w:sz w:val="24"/>
                <w:highlight w:val="none"/>
              </w:rPr>
            </w:pPr>
            <w:r>
              <w:rPr>
                <w:rFonts w:hint="eastAsia" w:ascii="宋体" w:hAnsi="宋体" w:cs="宋体"/>
                <w:color w:val="auto"/>
                <w:sz w:val="24"/>
                <w:highlight w:val="none"/>
              </w:rPr>
              <w:t>5、本项目无须缴纳投标保证金。</w:t>
            </w:r>
          </w:p>
        </w:tc>
      </w:tr>
      <w:tr w14:paraId="1F077A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8" w:hRule="atLeast"/>
        </w:trPr>
        <w:tc>
          <w:tcPr>
            <w:tcW w:w="667" w:type="dxa"/>
            <w:noWrap w:val="0"/>
            <w:vAlign w:val="center"/>
          </w:tcPr>
          <w:p w14:paraId="220785D5">
            <w:pPr>
              <w:shd w:val="clear" w:color="auto"/>
              <w:spacing w:line="360" w:lineRule="auto"/>
              <w:jc w:val="center"/>
              <w:rPr>
                <w:rFonts w:ascii="宋体" w:hAnsi="宋体" w:cs="宋体"/>
                <w:bCs/>
                <w:color w:val="auto"/>
                <w:sz w:val="24"/>
                <w:highlight w:val="none"/>
              </w:rPr>
            </w:pPr>
            <w:r>
              <w:rPr>
                <w:rFonts w:hint="eastAsia" w:ascii="宋体" w:hAnsi="宋体" w:cs="宋体"/>
                <w:bCs/>
                <w:color w:val="auto"/>
                <w:sz w:val="24"/>
                <w:highlight w:val="none"/>
              </w:rPr>
              <w:t>7</w:t>
            </w:r>
          </w:p>
        </w:tc>
        <w:tc>
          <w:tcPr>
            <w:tcW w:w="8685" w:type="dxa"/>
            <w:noWrap w:val="0"/>
          </w:tcPr>
          <w:p w14:paraId="464EBAD3">
            <w:pPr>
              <w:shd w:val="clear" w:color="auto"/>
              <w:spacing w:line="360" w:lineRule="auto"/>
              <w:rPr>
                <w:rFonts w:ascii="宋体" w:hAnsi="宋体" w:cs="宋体"/>
                <w:color w:val="auto"/>
                <w:sz w:val="24"/>
                <w:highlight w:val="none"/>
              </w:rPr>
            </w:pPr>
            <w:r>
              <w:rPr>
                <w:rFonts w:hint="eastAsia" w:ascii="宋体" w:hAnsi="宋体" w:cs="宋体"/>
                <w:color w:val="auto"/>
                <w:sz w:val="24"/>
                <w:highlight w:val="none"/>
              </w:rPr>
              <w:t>提疑截止时间：2026年</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18</w:t>
            </w:r>
            <w:r>
              <w:rPr>
                <w:rFonts w:hint="eastAsia" w:ascii="宋体" w:hAnsi="宋体" w:cs="宋体"/>
                <w:color w:val="auto"/>
                <w:sz w:val="24"/>
                <w:highlight w:val="none"/>
              </w:rPr>
              <w:t>日16时前，以书面传真形式和电子邮件形式发送给采购代理机构；</w:t>
            </w:r>
          </w:p>
          <w:p w14:paraId="6E514D26">
            <w:pPr>
              <w:shd w:val="clear" w:color="auto"/>
              <w:spacing w:line="360" w:lineRule="auto"/>
              <w:rPr>
                <w:rFonts w:ascii="宋体" w:hAnsi="宋体" w:cs="宋体"/>
                <w:color w:val="auto"/>
                <w:sz w:val="24"/>
                <w:highlight w:val="none"/>
              </w:rPr>
            </w:pPr>
            <w:r>
              <w:rPr>
                <w:rFonts w:hint="eastAsia" w:ascii="宋体" w:hAnsi="宋体" w:cs="宋体"/>
                <w:color w:val="auto"/>
                <w:sz w:val="24"/>
                <w:highlight w:val="none"/>
              </w:rPr>
              <w:t>答疑时间：投标截止时间</w:t>
            </w:r>
            <w:bookmarkStart w:id="7" w:name="_GoBack"/>
            <w:bookmarkEnd w:id="7"/>
            <w:r>
              <w:rPr>
                <w:rFonts w:hint="eastAsia" w:ascii="宋体" w:hAnsi="宋体" w:cs="宋体"/>
                <w:color w:val="auto"/>
                <w:sz w:val="24"/>
                <w:highlight w:val="none"/>
              </w:rPr>
              <w:t>15日前，以书面形式或电子邮件形式发送给各获取采购文件的投标供应商。</w:t>
            </w:r>
          </w:p>
        </w:tc>
      </w:tr>
      <w:tr w14:paraId="7F6B0A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67" w:type="dxa"/>
            <w:noWrap w:val="0"/>
            <w:vAlign w:val="center"/>
          </w:tcPr>
          <w:p w14:paraId="0C15D062">
            <w:pPr>
              <w:shd w:val="clear" w:color="auto"/>
              <w:spacing w:line="360" w:lineRule="auto"/>
              <w:jc w:val="center"/>
              <w:rPr>
                <w:rFonts w:ascii="宋体" w:hAnsi="宋体" w:cs="宋体"/>
                <w:bCs/>
                <w:color w:val="auto"/>
                <w:sz w:val="24"/>
                <w:highlight w:val="none"/>
              </w:rPr>
            </w:pPr>
            <w:r>
              <w:rPr>
                <w:rFonts w:hint="eastAsia" w:ascii="宋体" w:hAnsi="宋体" w:cs="宋体"/>
                <w:bCs/>
                <w:color w:val="auto"/>
                <w:sz w:val="24"/>
                <w:highlight w:val="none"/>
              </w:rPr>
              <w:t>8</w:t>
            </w:r>
          </w:p>
        </w:tc>
        <w:tc>
          <w:tcPr>
            <w:tcW w:w="8685" w:type="dxa"/>
            <w:noWrap w:val="0"/>
          </w:tcPr>
          <w:p w14:paraId="4F61D42A">
            <w:pPr>
              <w:shd w:val="clear" w:color="auto"/>
              <w:spacing w:line="360" w:lineRule="auto"/>
              <w:rPr>
                <w:rFonts w:ascii="宋体" w:hAnsi="宋体" w:cs="宋体"/>
                <w:color w:val="auto"/>
                <w:highlight w:val="none"/>
              </w:rPr>
            </w:pPr>
            <w:r>
              <w:rPr>
                <w:rFonts w:hint="eastAsia" w:ascii="宋体" w:hAnsi="宋体" w:cs="宋体"/>
                <w:color w:val="auto"/>
                <w:sz w:val="24"/>
                <w:highlight w:val="none"/>
              </w:rPr>
              <w:t>投标有效期：提交投标文件截止之日起90天。</w:t>
            </w:r>
          </w:p>
        </w:tc>
      </w:tr>
      <w:tr w14:paraId="29DA2B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67" w:type="dxa"/>
            <w:noWrap w:val="0"/>
            <w:vAlign w:val="center"/>
          </w:tcPr>
          <w:p w14:paraId="1D021D52">
            <w:pPr>
              <w:shd w:val="clear" w:color="auto"/>
              <w:spacing w:line="360" w:lineRule="auto"/>
              <w:jc w:val="center"/>
              <w:rPr>
                <w:rFonts w:ascii="宋体" w:hAnsi="宋体" w:cs="宋体"/>
                <w:bCs/>
                <w:color w:val="auto"/>
                <w:sz w:val="24"/>
                <w:highlight w:val="none"/>
              </w:rPr>
            </w:pPr>
            <w:r>
              <w:rPr>
                <w:rFonts w:hint="eastAsia" w:ascii="宋体" w:hAnsi="宋体" w:cs="宋体"/>
                <w:bCs/>
                <w:color w:val="auto"/>
                <w:sz w:val="24"/>
                <w:highlight w:val="none"/>
              </w:rPr>
              <w:t>9</w:t>
            </w:r>
          </w:p>
        </w:tc>
        <w:tc>
          <w:tcPr>
            <w:tcW w:w="8685" w:type="dxa"/>
            <w:noWrap w:val="0"/>
            <w:vAlign w:val="center"/>
          </w:tcPr>
          <w:p w14:paraId="0804C911">
            <w:pPr>
              <w:shd w:val="clear" w:color="auto"/>
              <w:spacing w:line="360" w:lineRule="auto"/>
              <w:rPr>
                <w:rFonts w:ascii="宋体" w:hAnsi="宋体" w:cs="宋体"/>
                <w:color w:val="auto"/>
                <w:sz w:val="24"/>
                <w:highlight w:val="none"/>
              </w:rPr>
            </w:pPr>
            <w:r>
              <w:rPr>
                <w:rFonts w:hint="eastAsia" w:ascii="宋体" w:hAnsi="宋体" w:cs="宋体"/>
                <w:color w:val="auto"/>
                <w:sz w:val="24"/>
                <w:highlight w:val="none"/>
              </w:rPr>
              <w:t>1、网上投标截止时间：2026年</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日</w:t>
            </w:r>
            <w:r>
              <w:rPr>
                <w:rFonts w:hint="eastAsia" w:ascii="宋体" w:hAnsi="宋体" w:cs="宋体"/>
                <w:color w:val="auto"/>
                <w:sz w:val="24"/>
                <w:highlight w:val="none"/>
                <w:lang w:val="en-US" w:eastAsia="zh-CN"/>
              </w:rPr>
              <w:t>下</w:t>
            </w:r>
            <w:r>
              <w:rPr>
                <w:rFonts w:hint="eastAsia" w:ascii="宋体" w:hAnsi="宋体" w:cs="宋体"/>
                <w:color w:val="auto"/>
                <w:sz w:val="24"/>
                <w:highlight w:val="none"/>
              </w:rPr>
              <w:t>午</w:t>
            </w:r>
            <w:r>
              <w:rPr>
                <w:rFonts w:hint="eastAsia" w:ascii="宋体" w:hAnsi="宋体" w:cs="宋体"/>
                <w:color w:val="auto"/>
                <w:sz w:val="24"/>
                <w:highlight w:val="none"/>
                <w:lang w:val="en-US" w:eastAsia="zh-CN"/>
              </w:rPr>
              <w:t>13</w:t>
            </w:r>
            <w:r>
              <w:rPr>
                <w:rFonts w:hint="eastAsia" w:ascii="宋体" w:hAnsi="宋体" w:cs="宋体"/>
                <w:color w:val="auto"/>
                <w:sz w:val="24"/>
                <w:highlight w:val="none"/>
              </w:rPr>
              <w:t>:30，投标截止时间后的投标文件恕不接受。</w:t>
            </w:r>
          </w:p>
          <w:p w14:paraId="3146A472">
            <w:pPr>
              <w:shd w:val="clear" w:color="auto"/>
              <w:spacing w:line="360" w:lineRule="auto"/>
              <w:rPr>
                <w:rFonts w:ascii="宋体" w:hAnsi="宋体" w:cs="宋体"/>
                <w:color w:val="auto"/>
                <w:sz w:val="24"/>
                <w:highlight w:val="none"/>
              </w:rPr>
            </w:pPr>
            <w:r>
              <w:rPr>
                <w:rFonts w:hint="eastAsia" w:ascii="宋体" w:hAnsi="宋体" w:cs="宋体"/>
                <w:color w:val="auto"/>
                <w:sz w:val="24"/>
                <w:highlight w:val="none"/>
              </w:rPr>
              <w:t>2、网上投标解密时间：2026年</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日</w:t>
            </w:r>
            <w:r>
              <w:rPr>
                <w:rFonts w:hint="eastAsia" w:ascii="宋体" w:hAnsi="宋体" w:cs="宋体"/>
                <w:color w:val="auto"/>
                <w:sz w:val="24"/>
                <w:highlight w:val="none"/>
                <w:lang w:val="en-US" w:eastAsia="zh-CN"/>
              </w:rPr>
              <w:t>下</w:t>
            </w:r>
            <w:r>
              <w:rPr>
                <w:rFonts w:hint="eastAsia" w:ascii="宋体" w:hAnsi="宋体" w:cs="宋体"/>
                <w:color w:val="auto"/>
                <w:sz w:val="24"/>
                <w:highlight w:val="none"/>
              </w:rPr>
              <w:t>午</w:t>
            </w:r>
            <w:r>
              <w:rPr>
                <w:rFonts w:hint="eastAsia" w:ascii="宋体" w:hAnsi="宋体" w:cs="宋体"/>
                <w:color w:val="auto"/>
                <w:sz w:val="24"/>
                <w:highlight w:val="none"/>
                <w:lang w:val="en-US" w:eastAsia="zh-CN"/>
              </w:rPr>
              <w:t>13</w:t>
            </w:r>
            <w:r>
              <w:rPr>
                <w:rFonts w:hint="eastAsia" w:ascii="宋体" w:hAnsi="宋体" w:cs="宋体"/>
                <w:color w:val="auto"/>
                <w:sz w:val="24"/>
                <w:highlight w:val="none"/>
              </w:rPr>
              <w:t>:30；解密时限：开启解密后30分钟。</w:t>
            </w:r>
          </w:p>
          <w:p w14:paraId="047E5E21">
            <w:pPr>
              <w:shd w:val="clear" w:color="auto"/>
              <w:spacing w:line="360" w:lineRule="auto"/>
              <w:rPr>
                <w:rFonts w:ascii="宋体" w:hAnsi="宋体" w:cs="宋体"/>
                <w:bCs/>
                <w:color w:val="auto"/>
                <w:sz w:val="24"/>
                <w:highlight w:val="none"/>
              </w:rPr>
            </w:pPr>
            <w:r>
              <w:rPr>
                <w:rFonts w:hint="eastAsia" w:ascii="宋体" w:hAnsi="宋体" w:cs="宋体"/>
                <w:color w:val="auto"/>
                <w:sz w:val="24"/>
                <w:highlight w:val="none"/>
              </w:rPr>
              <w:t>3、投标文件提交地点：</w:t>
            </w:r>
            <w:r>
              <w:rPr>
                <w:rFonts w:hint="eastAsia" w:ascii="宋体" w:hAnsi="宋体" w:cs="宋体"/>
                <w:color w:val="auto"/>
                <w:sz w:val="24"/>
                <w:highlight w:val="none"/>
                <w:shd w:val="clear" w:color="auto" w:fill="FFFFFF"/>
              </w:rPr>
              <w:t>江苏省政府采购（苏采云）平台投标，线上不见面开标。</w:t>
            </w:r>
          </w:p>
        </w:tc>
      </w:tr>
      <w:tr w14:paraId="39B754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7" w:hRule="atLeast"/>
        </w:trPr>
        <w:tc>
          <w:tcPr>
            <w:tcW w:w="667" w:type="dxa"/>
            <w:noWrap w:val="0"/>
            <w:vAlign w:val="center"/>
          </w:tcPr>
          <w:p w14:paraId="5ACFB2DB">
            <w:pPr>
              <w:shd w:val="clear" w:color="auto"/>
              <w:spacing w:line="360" w:lineRule="auto"/>
              <w:jc w:val="center"/>
              <w:rPr>
                <w:rFonts w:ascii="宋体" w:hAnsi="宋体" w:cs="宋体"/>
                <w:bCs/>
                <w:color w:val="auto"/>
                <w:sz w:val="24"/>
                <w:highlight w:val="none"/>
              </w:rPr>
            </w:pPr>
            <w:r>
              <w:rPr>
                <w:rFonts w:hint="eastAsia" w:ascii="宋体" w:hAnsi="宋体" w:cs="宋体"/>
                <w:bCs/>
                <w:color w:val="auto"/>
                <w:sz w:val="24"/>
                <w:highlight w:val="none"/>
              </w:rPr>
              <w:t>10</w:t>
            </w:r>
          </w:p>
        </w:tc>
        <w:tc>
          <w:tcPr>
            <w:tcW w:w="8685" w:type="dxa"/>
            <w:noWrap w:val="0"/>
          </w:tcPr>
          <w:p w14:paraId="47C75D0F">
            <w:pPr>
              <w:pStyle w:val="227"/>
              <w:shd w:val="clear" w:color="auto"/>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评审时间：2026年</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lang w:eastAsia="zh-CN"/>
              </w:rPr>
              <w:t>开标</w:t>
            </w:r>
            <w:r>
              <w:rPr>
                <w:rFonts w:hint="eastAsia" w:ascii="宋体" w:hAnsi="宋体" w:eastAsia="宋体" w:cs="宋体"/>
                <w:color w:val="auto"/>
                <w:sz w:val="24"/>
                <w:szCs w:val="21"/>
                <w:highlight w:val="none"/>
                <w:lang w:val="zh-CN" w:eastAsia="zh-CN"/>
              </w:rPr>
              <w:t>结束</w:t>
            </w:r>
            <w:r>
              <w:rPr>
                <w:rFonts w:hint="eastAsia" w:ascii="宋体" w:hAnsi="宋体" w:eastAsia="宋体" w:cs="宋体"/>
                <w:color w:val="auto"/>
                <w:sz w:val="24"/>
                <w:szCs w:val="24"/>
                <w:highlight w:val="none"/>
                <w:lang w:val="zh-CN" w:eastAsia="zh-CN"/>
              </w:rPr>
              <w:t xml:space="preserve">后  </w:t>
            </w:r>
          </w:p>
          <w:p w14:paraId="716A409F">
            <w:pPr>
              <w:widowControl/>
              <w:shd w:val="clear" w:color="auto"/>
              <w:spacing w:line="360" w:lineRule="auto"/>
              <w:rPr>
                <w:rFonts w:ascii="宋体" w:hAnsi="宋体" w:cs="宋体"/>
                <w:color w:val="auto"/>
                <w:highlight w:val="none"/>
              </w:rPr>
            </w:pPr>
            <w:r>
              <w:rPr>
                <w:rFonts w:hint="eastAsia" w:ascii="宋体" w:hAnsi="宋体" w:cs="宋体"/>
                <w:color w:val="auto"/>
                <w:sz w:val="24"/>
                <w:highlight w:val="none"/>
              </w:rPr>
              <w:t>评审地点：</w:t>
            </w:r>
            <w:r>
              <w:rPr>
                <w:rFonts w:hint="eastAsia" w:ascii="宋体" w:hAnsi="宋体" w:cs="宋体"/>
                <w:color w:val="auto"/>
                <w:sz w:val="24"/>
                <w:highlight w:val="none"/>
                <w:lang w:eastAsia="zh-CN"/>
              </w:rPr>
              <w:t>北京中昌工程咨询有限公司</w:t>
            </w:r>
            <w:r>
              <w:rPr>
                <w:rFonts w:hint="eastAsia" w:ascii="宋体" w:hAnsi="宋体" w:cs="宋体"/>
                <w:color w:val="auto"/>
                <w:sz w:val="24"/>
                <w:highlight w:val="none"/>
              </w:rPr>
              <w:t>评标室</w:t>
            </w:r>
          </w:p>
        </w:tc>
      </w:tr>
      <w:tr w14:paraId="74C8EC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1" w:hRule="atLeast"/>
        </w:trPr>
        <w:tc>
          <w:tcPr>
            <w:tcW w:w="667" w:type="dxa"/>
            <w:noWrap w:val="0"/>
            <w:vAlign w:val="center"/>
          </w:tcPr>
          <w:p w14:paraId="7B628328">
            <w:pPr>
              <w:shd w:val="clear" w:color="auto"/>
              <w:spacing w:line="360" w:lineRule="auto"/>
              <w:jc w:val="center"/>
              <w:rPr>
                <w:rFonts w:ascii="宋体" w:hAnsi="宋体" w:cs="宋体"/>
                <w:bCs/>
                <w:color w:val="auto"/>
                <w:sz w:val="24"/>
                <w:highlight w:val="none"/>
              </w:rPr>
            </w:pPr>
            <w:r>
              <w:rPr>
                <w:rFonts w:hint="eastAsia" w:ascii="宋体" w:hAnsi="宋体" w:cs="宋体"/>
                <w:bCs/>
                <w:color w:val="auto"/>
                <w:sz w:val="24"/>
                <w:highlight w:val="none"/>
              </w:rPr>
              <w:t>11</w:t>
            </w:r>
          </w:p>
        </w:tc>
        <w:tc>
          <w:tcPr>
            <w:tcW w:w="8685" w:type="dxa"/>
            <w:noWrap w:val="0"/>
            <w:vAlign w:val="center"/>
          </w:tcPr>
          <w:p w14:paraId="4EB4D94F">
            <w:pPr>
              <w:shd w:val="clear" w:color="auto"/>
              <w:spacing w:line="360" w:lineRule="auto"/>
              <w:rPr>
                <w:rFonts w:ascii="宋体" w:hAnsi="宋体" w:cs="宋体"/>
                <w:bCs/>
                <w:color w:val="auto"/>
                <w:sz w:val="24"/>
                <w:highlight w:val="none"/>
              </w:rPr>
            </w:pPr>
            <w:r>
              <w:rPr>
                <w:rFonts w:hint="eastAsia" w:ascii="宋体" w:hAnsi="宋体" w:cs="宋体"/>
                <w:color w:val="auto"/>
                <w:sz w:val="24"/>
                <w:highlight w:val="none"/>
              </w:rPr>
              <w:t>确定中标单位时间：2026年</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日评审结束后</w:t>
            </w:r>
          </w:p>
        </w:tc>
      </w:tr>
      <w:tr w14:paraId="1DD6BB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667" w:type="dxa"/>
            <w:noWrap w:val="0"/>
            <w:vAlign w:val="center"/>
          </w:tcPr>
          <w:p w14:paraId="0BFE3B39">
            <w:pPr>
              <w:shd w:val="clear" w:color="auto"/>
              <w:spacing w:line="360" w:lineRule="auto"/>
              <w:jc w:val="center"/>
              <w:rPr>
                <w:rFonts w:ascii="宋体" w:hAnsi="宋体" w:cs="宋体"/>
                <w:bCs/>
                <w:color w:val="auto"/>
                <w:sz w:val="24"/>
                <w:highlight w:val="none"/>
              </w:rPr>
            </w:pPr>
            <w:r>
              <w:rPr>
                <w:rFonts w:hint="eastAsia" w:ascii="宋体" w:hAnsi="宋体" w:cs="宋体"/>
                <w:bCs/>
                <w:color w:val="auto"/>
                <w:sz w:val="24"/>
                <w:highlight w:val="none"/>
              </w:rPr>
              <w:t>12</w:t>
            </w:r>
          </w:p>
        </w:tc>
        <w:tc>
          <w:tcPr>
            <w:tcW w:w="8685" w:type="dxa"/>
            <w:noWrap w:val="0"/>
            <w:vAlign w:val="center"/>
          </w:tcPr>
          <w:p w14:paraId="69C90A70">
            <w:pPr>
              <w:widowControl/>
              <w:shd w:val="clear" w:color="auto"/>
              <w:spacing w:line="360" w:lineRule="auto"/>
              <w:rPr>
                <w:rFonts w:ascii="宋体" w:hAnsi="宋体" w:cs="宋体"/>
                <w:bCs/>
                <w:color w:val="auto"/>
                <w:sz w:val="24"/>
                <w:highlight w:val="none"/>
              </w:rPr>
            </w:pPr>
            <w:r>
              <w:rPr>
                <w:rFonts w:hint="eastAsia" w:ascii="宋体" w:hAnsi="宋体" w:cs="宋体"/>
                <w:color w:val="auto"/>
                <w:sz w:val="24"/>
                <w:highlight w:val="none"/>
              </w:rPr>
              <w:t>本次采购采用江苏省政府采购（苏采云）平台进行招标投标活动，招标、投标、评标和中标结果发布全程电子化。</w:t>
            </w:r>
          </w:p>
        </w:tc>
      </w:tr>
      <w:tr w14:paraId="3FFCA5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0" w:hRule="atLeast"/>
        </w:trPr>
        <w:tc>
          <w:tcPr>
            <w:tcW w:w="667" w:type="dxa"/>
            <w:noWrap w:val="0"/>
            <w:vAlign w:val="center"/>
          </w:tcPr>
          <w:p w14:paraId="104E73B5">
            <w:pPr>
              <w:shd w:val="clear" w:color="auto"/>
              <w:spacing w:line="360" w:lineRule="auto"/>
              <w:jc w:val="center"/>
              <w:rPr>
                <w:rFonts w:ascii="宋体" w:hAnsi="宋体" w:cs="宋体"/>
                <w:bCs/>
                <w:color w:val="auto"/>
                <w:sz w:val="24"/>
                <w:highlight w:val="none"/>
              </w:rPr>
            </w:pPr>
            <w:r>
              <w:rPr>
                <w:rFonts w:hint="eastAsia" w:ascii="宋体" w:hAnsi="宋体" w:cs="宋体"/>
                <w:bCs/>
                <w:color w:val="auto"/>
                <w:sz w:val="24"/>
                <w:highlight w:val="none"/>
              </w:rPr>
              <w:t>13</w:t>
            </w:r>
          </w:p>
        </w:tc>
        <w:tc>
          <w:tcPr>
            <w:tcW w:w="8685" w:type="dxa"/>
            <w:noWrap w:val="0"/>
            <w:vAlign w:val="center"/>
          </w:tcPr>
          <w:p w14:paraId="0A7E4752">
            <w:pPr>
              <w:widowControl/>
              <w:shd w:val="clear" w:color="auto"/>
              <w:spacing w:line="360" w:lineRule="auto"/>
              <w:rPr>
                <w:rFonts w:hint="eastAsia" w:ascii="宋体" w:hAnsi="宋体" w:eastAsia="宋体" w:cs="宋体"/>
                <w:color w:val="auto"/>
                <w:sz w:val="24"/>
                <w:highlight w:val="none"/>
                <w:lang w:eastAsia="zh-CN"/>
              </w:rPr>
            </w:pPr>
            <w:r>
              <w:rPr>
                <w:rFonts w:hint="eastAsia" w:ascii="宋体" w:hAnsi="宋体" w:cs="宋体"/>
                <w:bCs/>
                <w:color w:val="auto"/>
                <w:sz w:val="24"/>
                <w:highlight w:val="none"/>
              </w:rPr>
              <w:t>1</w:t>
            </w:r>
            <w:r>
              <w:rPr>
                <w:rFonts w:hint="eastAsia" w:ascii="宋体" w:hAnsi="宋体" w:cs="宋体"/>
                <w:color w:val="auto"/>
                <w:sz w:val="24"/>
                <w:highlight w:val="none"/>
              </w:rPr>
              <w:t>.采 购 人：</w:t>
            </w:r>
            <w:r>
              <w:rPr>
                <w:rFonts w:hint="eastAsia" w:ascii="宋体" w:hAnsi="宋体" w:cs="宋体"/>
                <w:color w:val="auto"/>
                <w:sz w:val="24"/>
                <w:highlight w:val="none"/>
                <w:lang w:eastAsia="zh-CN"/>
              </w:rPr>
              <w:t>无锡市机关事务管理局（</w:t>
            </w:r>
            <w:r>
              <w:rPr>
                <w:rFonts w:hint="eastAsia" w:ascii="宋体" w:hAnsi="宋体" w:cs="宋体"/>
                <w:color w:val="auto"/>
                <w:sz w:val="24"/>
                <w:highlight w:val="none"/>
                <w:lang w:val="en-US" w:eastAsia="zh-CN"/>
              </w:rPr>
              <w:t>本级</w:t>
            </w:r>
            <w:r>
              <w:rPr>
                <w:rFonts w:hint="eastAsia" w:ascii="宋体" w:hAnsi="宋体" w:cs="宋体"/>
                <w:color w:val="auto"/>
                <w:sz w:val="24"/>
                <w:highlight w:val="none"/>
                <w:lang w:eastAsia="zh-CN"/>
              </w:rPr>
              <w:t>）</w:t>
            </w:r>
          </w:p>
          <w:p w14:paraId="047C6053">
            <w:pPr>
              <w:widowControl/>
              <w:shd w:val="clear" w:color="auto"/>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联系人：</w:t>
            </w:r>
            <w:r>
              <w:rPr>
                <w:rFonts w:hint="eastAsia" w:ascii="宋体" w:hAnsi="宋体" w:cs="宋体"/>
                <w:color w:val="auto"/>
                <w:sz w:val="24"/>
                <w:highlight w:val="none"/>
                <w:lang w:eastAsia="zh-CN"/>
              </w:rPr>
              <w:t>苏科</w:t>
            </w:r>
          </w:p>
          <w:p w14:paraId="4F775D16">
            <w:pPr>
              <w:widowControl/>
              <w:shd w:val="clear" w:color="auto"/>
              <w:spacing w:line="360" w:lineRule="auto"/>
              <w:rPr>
                <w:rFonts w:ascii="宋体" w:hAnsi="宋体" w:cs="宋体"/>
                <w:color w:val="auto"/>
                <w:sz w:val="24"/>
                <w:highlight w:val="none"/>
              </w:rPr>
            </w:pPr>
            <w:r>
              <w:rPr>
                <w:rFonts w:hint="eastAsia" w:ascii="宋体" w:hAnsi="宋体" w:cs="宋体"/>
                <w:color w:val="auto"/>
                <w:sz w:val="24"/>
                <w:highlight w:val="none"/>
              </w:rPr>
              <w:t>联系电话：0510-81827197</w:t>
            </w:r>
            <w:r>
              <w:rPr>
                <w:rFonts w:hint="eastAsia" w:ascii="宋体" w:hAnsi="宋体" w:cs="宋体"/>
                <w:color w:val="auto"/>
                <w:sz w:val="24"/>
                <w:highlight w:val="none"/>
              </w:rPr>
              <w:tab/>
            </w:r>
          </w:p>
          <w:p w14:paraId="08AFE872">
            <w:pPr>
              <w:widowControl/>
              <w:shd w:val="clear" w:color="auto"/>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联系地址：</w:t>
            </w:r>
            <w:r>
              <w:rPr>
                <w:rFonts w:hint="eastAsia" w:ascii="宋体" w:hAnsi="宋体" w:cs="宋体"/>
                <w:color w:val="auto"/>
                <w:sz w:val="24"/>
                <w:highlight w:val="none"/>
                <w:lang w:eastAsia="zh-CN"/>
              </w:rPr>
              <w:t>无锡市滨湖区太湖新城观山路市民中心8号楼</w:t>
            </w:r>
          </w:p>
          <w:p w14:paraId="65F39AE6">
            <w:pPr>
              <w:shd w:val="clear" w:color="auto"/>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2.采购代理机构：</w:t>
            </w:r>
            <w:r>
              <w:rPr>
                <w:rFonts w:hint="eastAsia" w:ascii="宋体" w:hAnsi="宋体" w:cs="宋体"/>
                <w:bCs/>
                <w:color w:val="auto"/>
                <w:sz w:val="24"/>
                <w:highlight w:val="none"/>
                <w:lang w:eastAsia="zh-CN"/>
              </w:rPr>
              <w:t>北京中昌工程咨询有限公司</w:t>
            </w:r>
          </w:p>
          <w:p w14:paraId="2D976E0B">
            <w:pPr>
              <w:shd w:val="clear" w:color="auto"/>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联系人：</w:t>
            </w:r>
            <w:r>
              <w:rPr>
                <w:rFonts w:hint="eastAsia" w:ascii="宋体" w:hAnsi="宋体" w:cs="宋体"/>
                <w:bCs/>
                <w:color w:val="auto"/>
                <w:sz w:val="24"/>
                <w:highlight w:val="none"/>
                <w:lang w:eastAsia="zh-CN"/>
              </w:rPr>
              <w:t>祁娜</w:t>
            </w:r>
          </w:p>
          <w:p w14:paraId="614FE589">
            <w:pPr>
              <w:shd w:val="clear" w:color="auto"/>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联系电话：</w:t>
            </w:r>
            <w:r>
              <w:rPr>
                <w:rFonts w:hint="eastAsia" w:ascii="宋体" w:hAnsi="宋体" w:cs="宋体"/>
                <w:bCs/>
                <w:color w:val="auto"/>
                <w:sz w:val="24"/>
                <w:highlight w:val="none"/>
                <w:lang w:eastAsia="zh-CN"/>
              </w:rPr>
              <w:t>19952293931</w:t>
            </w:r>
          </w:p>
          <w:p w14:paraId="6E4078EC">
            <w:pPr>
              <w:shd w:val="clear" w:color="auto"/>
              <w:spacing w:line="360" w:lineRule="auto"/>
              <w:rPr>
                <w:rFonts w:ascii="宋体" w:hAnsi="宋体" w:cs="宋体"/>
                <w:bCs/>
                <w:color w:val="auto"/>
                <w:sz w:val="24"/>
                <w:highlight w:val="none"/>
              </w:rPr>
            </w:pPr>
            <w:r>
              <w:rPr>
                <w:rFonts w:hint="eastAsia" w:ascii="宋体" w:hAnsi="宋体" w:cs="宋体"/>
                <w:bCs/>
                <w:color w:val="auto"/>
                <w:sz w:val="24"/>
                <w:highlight w:val="none"/>
              </w:rPr>
              <w:t>邮箱：</w:t>
            </w:r>
            <w:r>
              <w:rPr>
                <w:color w:val="auto"/>
                <w:highlight w:val="none"/>
              </w:rPr>
              <w:fldChar w:fldCharType="begin"/>
            </w:r>
            <w:r>
              <w:rPr>
                <w:color w:val="auto"/>
                <w:highlight w:val="none"/>
              </w:rPr>
              <w:instrText xml:space="preserve"> HYPERLINK "mailto:1121384784@qq.com" </w:instrText>
            </w:r>
            <w:r>
              <w:rPr>
                <w:color w:val="auto"/>
                <w:highlight w:val="none"/>
              </w:rPr>
              <w:fldChar w:fldCharType="separate"/>
            </w:r>
            <w:r>
              <w:rPr>
                <w:rFonts w:hint="eastAsia" w:ascii="宋体" w:hAnsi="宋体" w:cs="宋体"/>
                <w:bCs/>
                <w:color w:val="auto"/>
                <w:sz w:val="24"/>
                <w:highlight w:val="none"/>
                <w:lang w:eastAsia="zh-CN"/>
              </w:rPr>
              <w:t>1715335668</w:t>
            </w:r>
            <w:r>
              <w:rPr>
                <w:rFonts w:hint="eastAsia" w:ascii="宋体" w:hAnsi="宋体" w:cs="宋体"/>
                <w:bCs/>
                <w:color w:val="auto"/>
                <w:sz w:val="24"/>
                <w:highlight w:val="none"/>
              </w:rPr>
              <w:t>@qq.com</w:t>
            </w:r>
            <w:r>
              <w:rPr>
                <w:rFonts w:hint="eastAsia" w:ascii="宋体" w:hAnsi="宋体" w:cs="宋体"/>
                <w:bCs/>
                <w:color w:val="auto"/>
                <w:sz w:val="24"/>
                <w:highlight w:val="none"/>
              </w:rPr>
              <w:fldChar w:fldCharType="end"/>
            </w:r>
          </w:p>
          <w:p w14:paraId="7BB783AC">
            <w:pPr>
              <w:shd w:val="clear" w:color="auto"/>
              <w:spacing w:line="360" w:lineRule="auto"/>
              <w:rPr>
                <w:rFonts w:hint="eastAsia" w:ascii="宋体" w:hAnsi="宋体" w:eastAsia="宋体" w:cs="宋体"/>
                <w:color w:val="auto"/>
                <w:sz w:val="24"/>
                <w:szCs w:val="21"/>
                <w:highlight w:val="none"/>
                <w:lang w:eastAsia="zh-CN"/>
              </w:rPr>
            </w:pPr>
            <w:r>
              <w:rPr>
                <w:rFonts w:hint="eastAsia" w:ascii="宋体" w:hAnsi="宋体" w:cs="宋体"/>
                <w:bCs/>
                <w:color w:val="auto"/>
                <w:sz w:val="24"/>
                <w:highlight w:val="none"/>
              </w:rPr>
              <w:t>联系地址：</w:t>
            </w:r>
            <w:r>
              <w:rPr>
                <w:rFonts w:hint="eastAsia" w:ascii="宋体" w:hAnsi="宋体" w:cs="宋体"/>
                <w:bCs/>
                <w:color w:val="auto"/>
                <w:sz w:val="24"/>
                <w:highlight w:val="none"/>
                <w:lang w:eastAsia="zh-CN"/>
              </w:rPr>
              <w:t>无锡市梁溪区扬名创智园H座二楼</w:t>
            </w:r>
          </w:p>
          <w:p w14:paraId="09E2EAA9">
            <w:pPr>
              <w:shd w:val="clear" w:color="auto"/>
              <w:spacing w:line="360" w:lineRule="auto"/>
              <w:rPr>
                <w:rFonts w:ascii="宋体" w:hAnsi="宋体" w:cs="宋体"/>
                <w:bCs/>
                <w:color w:val="auto"/>
                <w:sz w:val="24"/>
                <w:highlight w:val="none"/>
              </w:rPr>
            </w:pPr>
            <w:r>
              <w:rPr>
                <w:rFonts w:hint="eastAsia" w:ascii="宋体" w:hAnsi="宋体" w:cs="宋体"/>
                <w:color w:val="auto"/>
                <w:sz w:val="24"/>
                <w:szCs w:val="21"/>
                <w:highlight w:val="none"/>
              </w:rPr>
              <w:t>有关本次采购活动程序方面的问题，可来人、来函（传真）或电话联系。</w:t>
            </w:r>
          </w:p>
        </w:tc>
      </w:tr>
      <w:tr w14:paraId="018C0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8" w:hRule="atLeast"/>
        </w:trPr>
        <w:tc>
          <w:tcPr>
            <w:tcW w:w="667" w:type="dxa"/>
            <w:noWrap w:val="0"/>
            <w:vAlign w:val="center"/>
          </w:tcPr>
          <w:p w14:paraId="08638D6B">
            <w:pPr>
              <w:shd w:val="clear" w:color="auto"/>
              <w:spacing w:line="360" w:lineRule="auto"/>
              <w:jc w:val="center"/>
              <w:rPr>
                <w:rFonts w:ascii="宋体" w:hAnsi="宋体" w:cs="宋体"/>
                <w:bCs/>
                <w:color w:val="auto"/>
                <w:sz w:val="24"/>
                <w:highlight w:val="none"/>
              </w:rPr>
            </w:pPr>
            <w:r>
              <w:rPr>
                <w:rFonts w:hint="eastAsia" w:ascii="宋体" w:hAnsi="宋体" w:cs="宋体"/>
                <w:bCs/>
                <w:color w:val="auto"/>
                <w:sz w:val="24"/>
                <w:highlight w:val="none"/>
              </w:rPr>
              <w:t>14</w:t>
            </w:r>
          </w:p>
        </w:tc>
        <w:tc>
          <w:tcPr>
            <w:tcW w:w="8685" w:type="dxa"/>
            <w:noWrap w:val="0"/>
            <w:vAlign w:val="center"/>
          </w:tcPr>
          <w:p w14:paraId="20AEF227">
            <w:pPr>
              <w:widowControl/>
              <w:shd w:val="clear" w:color="auto"/>
              <w:spacing w:line="380" w:lineRule="exact"/>
              <w:rPr>
                <w:rFonts w:ascii="宋体" w:hAnsi="宋体" w:cs="宋体"/>
                <w:b/>
                <w:bCs/>
                <w:color w:val="auto"/>
                <w:sz w:val="24"/>
                <w:highlight w:val="none"/>
              </w:rPr>
            </w:pPr>
            <w:r>
              <w:rPr>
                <w:rFonts w:hint="eastAsia" w:ascii="宋体" w:hAnsi="宋体" w:cs="宋体"/>
                <w:b/>
                <w:bCs/>
                <w:color w:val="auto"/>
                <w:sz w:val="24"/>
                <w:highlight w:val="none"/>
              </w:rPr>
              <w:t>潜在投标供应商访问江苏省政府采购（苏采云）平台的网络地址和方法：</w:t>
            </w:r>
          </w:p>
          <w:p w14:paraId="38CD93F6">
            <w:pPr>
              <w:shd w:val="clear" w:color="auto"/>
              <w:spacing w:line="380" w:lineRule="exact"/>
              <w:rPr>
                <w:rFonts w:ascii="宋体" w:hAnsi="宋体" w:cs="宋体"/>
                <w:color w:val="auto"/>
                <w:sz w:val="24"/>
                <w:highlight w:val="none"/>
              </w:rPr>
            </w:pPr>
            <w:r>
              <w:rPr>
                <w:rFonts w:hint="eastAsia" w:ascii="宋体" w:hAnsi="宋体" w:cs="宋体"/>
                <w:color w:val="auto"/>
                <w:sz w:val="24"/>
                <w:highlight w:val="none"/>
              </w:rPr>
              <w:t>1.请有意参加本项目投标的供应商按以下流程进行操作：</w:t>
            </w:r>
          </w:p>
          <w:p w14:paraId="68A91C7B">
            <w:pPr>
              <w:shd w:val="clear" w:color="auto"/>
              <w:spacing w:line="380" w:lineRule="exact"/>
              <w:rPr>
                <w:rFonts w:ascii="宋体" w:hAnsi="宋体" w:cs="宋体"/>
                <w:color w:val="auto"/>
                <w:sz w:val="24"/>
                <w:highlight w:val="none"/>
              </w:rPr>
            </w:pPr>
            <w:r>
              <w:rPr>
                <w:rFonts w:hint="eastAsia" w:ascii="宋体" w:hAnsi="宋体" w:cs="宋体"/>
                <w:color w:val="auto"/>
                <w:sz w:val="24"/>
                <w:highlight w:val="none"/>
              </w:rPr>
              <w:t>（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479F9A24">
            <w:pPr>
              <w:shd w:val="clear" w:color="auto"/>
              <w:spacing w:line="380" w:lineRule="exact"/>
              <w:rPr>
                <w:rFonts w:ascii="宋体" w:hAnsi="宋体" w:cs="宋体"/>
                <w:color w:val="auto"/>
                <w:sz w:val="24"/>
                <w:highlight w:val="none"/>
              </w:rPr>
            </w:pPr>
            <w:r>
              <w:rPr>
                <w:rFonts w:hint="eastAsia" w:ascii="宋体" w:hAnsi="宋体" w:cs="宋体"/>
                <w:color w:val="auto"/>
                <w:sz w:val="24"/>
                <w:highlight w:val="none"/>
              </w:rPr>
              <w:t>（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p>
          <w:p w14:paraId="4B9C2003">
            <w:pPr>
              <w:shd w:val="clear" w:color="auto"/>
              <w:spacing w:line="380" w:lineRule="exact"/>
              <w:rPr>
                <w:rFonts w:ascii="宋体" w:hAnsi="宋体" w:cs="宋体"/>
                <w:color w:val="auto"/>
                <w:sz w:val="24"/>
                <w:highlight w:val="none"/>
              </w:rPr>
            </w:pPr>
            <w:r>
              <w:rPr>
                <w:rFonts w:hint="eastAsia" w:ascii="宋体" w:hAnsi="宋体" w:cs="宋体"/>
                <w:color w:val="auto"/>
                <w:sz w:val="24"/>
                <w:highlight w:val="none"/>
              </w:rPr>
              <w:t>（3）咨询电话：供应商注册：0519-86722801、0519-86722806，CA及电子加盖公章或签电子公章：0510-81827781，其他事项：0510-81827730。</w:t>
            </w:r>
          </w:p>
          <w:p w14:paraId="2D18D6F5">
            <w:pPr>
              <w:shd w:val="clear" w:color="auto"/>
              <w:spacing w:line="380" w:lineRule="exact"/>
              <w:rPr>
                <w:rFonts w:ascii="宋体" w:hAnsi="宋体" w:cs="宋体"/>
                <w:color w:val="auto"/>
                <w:sz w:val="24"/>
                <w:highlight w:val="none"/>
              </w:rPr>
            </w:pPr>
            <w:r>
              <w:rPr>
                <w:rFonts w:hint="eastAsia" w:ascii="宋体" w:hAnsi="宋体" w:cs="宋体"/>
                <w:color w:val="auto"/>
                <w:sz w:val="24"/>
                <w:highlight w:val="none"/>
              </w:rPr>
              <w:t>（4）潜在供应商访问“苏采云”系统的网络地址和方法：“苏采云”系统的网址：http：//jszfcg.jsczt.cn/。</w:t>
            </w:r>
          </w:p>
          <w:p w14:paraId="4CCE6C3F">
            <w:pPr>
              <w:shd w:val="clear" w:color="auto"/>
              <w:spacing w:line="380" w:lineRule="exact"/>
              <w:rPr>
                <w:rFonts w:ascii="宋体" w:hAnsi="宋体" w:cs="宋体"/>
                <w:color w:val="auto"/>
                <w:sz w:val="24"/>
                <w:highlight w:val="none"/>
              </w:rPr>
            </w:pPr>
            <w:r>
              <w:rPr>
                <w:rFonts w:hint="eastAsia" w:ascii="宋体" w:hAnsi="宋体" w:cs="宋体"/>
                <w:color w:val="auto"/>
                <w:sz w:val="24"/>
                <w:highlight w:val="none"/>
              </w:rPr>
              <w:t>（5）采购文件（后缀名为“.kedt”）、供应商操作手册及政府采购客户端工具也可通过“苏采云”系统--已报名项目--报名详情页面内相应链接进行下载。</w:t>
            </w:r>
          </w:p>
          <w:p w14:paraId="37736C99">
            <w:pPr>
              <w:shd w:val="clear" w:color="auto"/>
              <w:spacing w:line="380" w:lineRule="exact"/>
              <w:rPr>
                <w:rFonts w:ascii="宋体" w:hAnsi="宋体" w:cs="宋体"/>
                <w:color w:val="auto"/>
                <w:sz w:val="24"/>
                <w:highlight w:val="none"/>
              </w:rPr>
            </w:pPr>
            <w:r>
              <w:rPr>
                <w:rFonts w:hint="eastAsia" w:ascii="宋体" w:hAnsi="宋体" w:cs="宋体"/>
                <w:color w:val="auto"/>
                <w:sz w:val="24"/>
                <w:highlight w:val="none"/>
              </w:rPr>
              <w:t xml:space="preserve">（6）招标代理机构（采购代理机构）将数据电文形式的采购文件加载至“苏采云”系统，供潜在供应商下载或者查阅。     </w:t>
            </w:r>
          </w:p>
          <w:p w14:paraId="4D28EB19">
            <w:pPr>
              <w:shd w:val="clear" w:color="auto"/>
              <w:spacing w:line="360" w:lineRule="auto"/>
              <w:rPr>
                <w:rFonts w:ascii="宋体" w:hAnsi="宋体" w:cs="宋体"/>
                <w:bCs/>
                <w:color w:val="auto"/>
                <w:sz w:val="24"/>
                <w:highlight w:val="none"/>
              </w:rPr>
            </w:pPr>
            <w:r>
              <w:rPr>
                <w:rFonts w:hint="eastAsia" w:ascii="宋体" w:hAnsi="宋体" w:cs="宋体"/>
                <w:color w:val="auto"/>
                <w:sz w:val="24"/>
                <w:highlight w:val="none"/>
              </w:rPr>
              <w:t>（7）苏采云系统使用谷歌浏览器参与不见面开标。</w:t>
            </w:r>
          </w:p>
        </w:tc>
      </w:tr>
    </w:tbl>
    <w:p w14:paraId="34C0F6B3">
      <w:pPr>
        <w:shd w:val="clear" w:color="auto"/>
        <w:spacing w:line="360" w:lineRule="auto"/>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rPr>
          <w:rFonts w:hint="eastAsia" w:ascii="宋体" w:hAnsi="宋体" w:cs="宋体"/>
          <w:b/>
          <w:bCs/>
          <w:color w:val="auto"/>
          <w:sz w:val="32"/>
          <w:szCs w:val="32"/>
          <w:highlight w:val="none"/>
        </w:rPr>
        <w:t>二．投标供应商须知</w:t>
      </w:r>
    </w:p>
    <w:p w14:paraId="47DFAAF8">
      <w:pPr>
        <w:shd w:val="clear" w:color="auto"/>
        <w:tabs>
          <w:tab w:val="left" w:pos="735"/>
        </w:tabs>
        <w:spacing w:line="360" w:lineRule="auto"/>
        <w:ind w:left="420"/>
        <w:rPr>
          <w:rFonts w:ascii="宋体" w:hAnsi="宋体" w:cs="宋体"/>
          <w:bCs/>
          <w:color w:val="auto"/>
          <w:sz w:val="24"/>
          <w:highlight w:val="none"/>
        </w:rPr>
      </w:pPr>
      <w:r>
        <w:rPr>
          <w:rFonts w:hint="eastAsia" w:ascii="宋体" w:hAnsi="宋体" w:cs="宋体"/>
          <w:bCs/>
          <w:color w:val="auto"/>
          <w:sz w:val="24"/>
          <w:highlight w:val="none"/>
        </w:rPr>
        <w:t>（一）遵循原则：</w:t>
      </w:r>
    </w:p>
    <w:p w14:paraId="76A7473A">
      <w:pPr>
        <w:shd w:val="clear" w:color="auto"/>
        <w:spacing w:line="360" w:lineRule="auto"/>
        <w:ind w:firstLine="523"/>
        <w:rPr>
          <w:rFonts w:ascii="宋体" w:hAnsi="宋体" w:cs="宋体"/>
          <w:bCs/>
          <w:color w:val="auto"/>
          <w:sz w:val="24"/>
          <w:highlight w:val="none"/>
        </w:rPr>
      </w:pPr>
      <w:r>
        <w:rPr>
          <w:rFonts w:hint="eastAsia" w:ascii="宋体" w:hAnsi="宋体" w:cs="宋体"/>
          <w:bCs/>
          <w:color w:val="auto"/>
          <w:sz w:val="24"/>
          <w:highlight w:val="none"/>
        </w:rPr>
        <w:t>公开透明原则、公平竞争原则、公正原则和诚实信用原则。</w:t>
      </w:r>
    </w:p>
    <w:p w14:paraId="752F45C0">
      <w:pPr>
        <w:shd w:val="clear" w:color="auto"/>
        <w:tabs>
          <w:tab w:val="left" w:pos="735"/>
        </w:tabs>
        <w:spacing w:line="360" w:lineRule="auto"/>
        <w:ind w:left="420"/>
        <w:rPr>
          <w:rFonts w:ascii="宋体" w:hAnsi="宋体" w:cs="宋体"/>
          <w:bCs/>
          <w:color w:val="auto"/>
          <w:sz w:val="24"/>
          <w:highlight w:val="none"/>
        </w:rPr>
      </w:pPr>
      <w:r>
        <w:rPr>
          <w:rFonts w:hint="eastAsia" w:ascii="宋体" w:hAnsi="宋体" w:cs="宋体"/>
          <w:bCs/>
          <w:color w:val="auto"/>
          <w:sz w:val="24"/>
          <w:highlight w:val="none"/>
        </w:rPr>
        <w:t>（二）采购文件：</w:t>
      </w:r>
    </w:p>
    <w:p w14:paraId="0DBE3DDE">
      <w:pPr>
        <w:shd w:val="clear" w:color="auto"/>
        <w:spacing w:line="360" w:lineRule="auto"/>
        <w:ind w:firstLine="480"/>
        <w:rPr>
          <w:rFonts w:ascii="宋体" w:hAnsi="宋体" w:cs="宋体"/>
          <w:color w:val="auto"/>
          <w:sz w:val="24"/>
          <w:highlight w:val="none"/>
        </w:rPr>
      </w:pPr>
      <w:r>
        <w:rPr>
          <w:rFonts w:hint="eastAsia" w:ascii="宋体" w:hAnsi="宋体" w:cs="宋体"/>
          <w:color w:val="auto"/>
          <w:sz w:val="24"/>
          <w:highlight w:val="none"/>
        </w:rPr>
        <w:t>1.采购文件包括文件目录所列全部内容，供应商应仔细阅读，并在投标文件中充分响应采购文件的所有要求。</w:t>
      </w:r>
    </w:p>
    <w:p w14:paraId="1F8B47C4">
      <w:pPr>
        <w:shd w:val="clear" w:color="auto"/>
        <w:spacing w:line="360" w:lineRule="auto"/>
        <w:ind w:firstLine="480"/>
        <w:rPr>
          <w:rFonts w:ascii="宋体" w:hAnsi="宋体" w:cs="宋体"/>
          <w:color w:val="auto"/>
          <w:sz w:val="24"/>
          <w:highlight w:val="none"/>
        </w:rPr>
      </w:pPr>
      <w:r>
        <w:rPr>
          <w:rFonts w:hint="eastAsia" w:ascii="宋体" w:hAnsi="宋体" w:cs="宋体"/>
          <w:color w:val="auto"/>
          <w:sz w:val="24"/>
          <w:highlight w:val="none"/>
        </w:rPr>
        <w:t>2.投标</w:t>
      </w:r>
      <w:r>
        <w:rPr>
          <w:rFonts w:hint="eastAsia" w:ascii="宋体" w:hAnsi="宋体" w:cs="宋体"/>
          <w:color w:val="auto"/>
          <w:sz w:val="24"/>
          <w:highlight w:val="none"/>
          <w:lang w:val="zh-CN"/>
        </w:rPr>
        <w:t>供应商登录</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宋体" w:hAnsi="宋体" w:cs="宋体"/>
          <w:color w:val="auto"/>
          <w:sz w:val="24"/>
          <w:highlight w:val="none"/>
        </w:rPr>
        <w:t>江苏省政府采购（苏采云）平台 (http://jszfcg.jsczt.cn/)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lang w:val="zh-CN"/>
        </w:rPr>
        <w:t>在线申请获取采购文件</w:t>
      </w:r>
      <w:r>
        <w:rPr>
          <w:rFonts w:hint="eastAsia" w:ascii="宋体" w:hAnsi="宋体" w:cs="宋体"/>
          <w:color w:val="auto"/>
          <w:sz w:val="24"/>
          <w:highlight w:val="none"/>
        </w:rPr>
        <w:t>及有关资料，按采购文件要求提交全部资料并对采购文件各项内容做出实质性响应，否则投标无效</w:t>
      </w:r>
      <w:r>
        <w:rPr>
          <w:rFonts w:hint="eastAsia" w:ascii="宋体" w:hAnsi="宋体" w:cs="宋体"/>
          <w:color w:val="auto"/>
          <w:sz w:val="24"/>
          <w:highlight w:val="none"/>
          <w:lang w:val="zh-CN"/>
        </w:rPr>
        <w:t>。</w:t>
      </w:r>
    </w:p>
    <w:p w14:paraId="7BD3CA4C">
      <w:pPr>
        <w:shd w:val="clear" w:color="auto"/>
        <w:spacing w:line="360" w:lineRule="auto"/>
        <w:ind w:firstLine="480"/>
        <w:rPr>
          <w:rFonts w:ascii="宋体" w:hAnsi="宋体" w:cs="宋体"/>
          <w:color w:val="auto"/>
          <w:sz w:val="24"/>
          <w:highlight w:val="none"/>
        </w:rPr>
      </w:pPr>
      <w:r>
        <w:rPr>
          <w:rFonts w:hint="eastAsia" w:ascii="宋体" w:hAnsi="宋体" w:cs="宋体"/>
          <w:color w:val="auto"/>
          <w:sz w:val="24"/>
          <w:highlight w:val="none"/>
        </w:rPr>
        <w:t>3.投标供应商一旦参加本项目投标，即表明承诺接受了本采购文件中所有条件和规定。</w:t>
      </w:r>
    </w:p>
    <w:p w14:paraId="479D72EF">
      <w:pPr>
        <w:shd w:val="clear" w:color="auto"/>
        <w:spacing w:line="360" w:lineRule="auto"/>
        <w:ind w:firstLine="480"/>
        <w:rPr>
          <w:rFonts w:ascii="宋体" w:hAnsi="宋体" w:cs="宋体"/>
          <w:color w:val="auto"/>
          <w:sz w:val="24"/>
          <w:highlight w:val="none"/>
        </w:rPr>
      </w:pPr>
      <w:r>
        <w:rPr>
          <w:rFonts w:hint="eastAsia" w:ascii="宋体" w:hAnsi="宋体" w:cs="宋体"/>
          <w:color w:val="auto"/>
          <w:sz w:val="24"/>
          <w:highlight w:val="none"/>
        </w:rPr>
        <w:t>4.采购文件仅作为本次采购招标使用。</w:t>
      </w:r>
    </w:p>
    <w:p w14:paraId="6583EABC">
      <w:pPr>
        <w:shd w:val="clear" w:color="auto"/>
        <w:tabs>
          <w:tab w:val="left" w:pos="63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（三）采购文件的解释：</w:t>
      </w:r>
    </w:p>
    <w:p w14:paraId="29F08284">
      <w:pPr>
        <w:shd w:val="clear" w:color="auto"/>
        <w:tabs>
          <w:tab w:val="left" w:pos="525"/>
          <w:tab w:val="left" w:pos="105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1.投标供应商如需要对采购文件要求澄清的问题，</w:t>
      </w:r>
      <w:r>
        <w:rPr>
          <w:rFonts w:hint="eastAsia" w:ascii="宋体" w:hAnsi="宋体" w:cs="宋体"/>
          <w:color w:val="auto"/>
          <w:sz w:val="24"/>
          <w:highlight w:val="none"/>
        </w:rPr>
        <w:t>请以书面提出，并按“投标邀请函”第7项规定的时间将电子邮件及书面文件传真（两种形式均须发送）至</w:t>
      </w:r>
      <w:r>
        <w:rPr>
          <w:rFonts w:hint="eastAsia" w:ascii="宋体" w:hAnsi="宋体" w:cs="宋体"/>
          <w:bCs/>
          <w:color w:val="auto"/>
          <w:sz w:val="24"/>
          <w:highlight w:val="none"/>
          <w:lang w:eastAsia="zh-CN"/>
        </w:rPr>
        <w:t>北京中昌工程咨询有限公司</w:t>
      </w:r>
      <w:r>
        <w:rPr>
          <w:rFonts w:hint="eastAsia" w:ascii="宋体" w:hAnsi="宋体" w:cs="宋体"/>
          <w:bCs/>
          <w:color w:val="auto"/>
          <w:sz w:val="24"/>
          <w:highlight w:val="none"/>
        </w:rPr>
        <w:t>。E-mail：</w:t>
      </w:r>
      <w:r>
        <w:rPr>
          <w:color w:val="auto"/>
          <w:highlight w:val="none"/>
        </w:rPr>
        <w:fldChar w:fldCharType="begin"/>
      </w:r>
      <w:r>
        <w:rPr>
          <w:color w:val="auto"/>
          <w:highlight w:val="none"/>
        </w:rPr>
        <w:instrText xml:space="preserve"> HYPERLINK "mailto:1121384784@qq.com" </w:instrText>
      </w:r>
      <w:r>
        <w:rPr>
          <w:color w:val="auto"/>
          <w:highlight w:val="none"/>
        </w:rPr>
        <w:fldChar w:fldCharType="separate"/>
      </w:r>
      <w:r>
        <w:rPr>
          <w:rFonts w:hint="eastAsia" w:ascii="宋体" w:hAnsi="宋体" w:cs="宋体"/>
          <w:bCs/>
          <w:color w:val="auto"/>
          <w:sz w:val="24"/>
          <w:highlight w:val="none"/>
          <w:lang w:eastAsia="zh-CN"/>
        </w:rPr>
        <w:t>1715335668</w:t>
      </w:r>
      <w:r>
        <w:rPr>
          <w:rFonts w:hint="eastAsia" w:ascii="宋体" w:hAnsi="宋体" w:cs="宋体"/>
          <w:bCs/>
          <w:color w:val="auto"/>
          <w:sz w:val="24"/>
          <w:highlight w:val="none"/>
        </w:rPr>
        <w:t>@qq.com</w:t>
      </w:r>
      <w:r>
        <w:rPr>
          <w:rFonts w:hint="eastAsia" w:ascii="宋体" w:hAnsi="宋体" w:cs="宋体"/>
          <w:bCs/>
          <w:color w:val="auto"/>
          <w:sz w:val="24"/>
          <w:highlight w:val="none"/>
        </w:rPr>
        <w:fldChar w:fldCharType="end"/>
      </w:r>
      <w:r>
        <w:rPr>
          <w:rFonts w:hint="eastAsia" w:ascii="宋体" w:hAnsi="宋体" w:cs="宋体"/>
          <w:bCs/>
          <w:color w:val="auto"/>
          <w:sz w:val="24"/>
          <w:highlight w:val="none"/>
        </w:rPr>
        <w:t xml:space="preserve">。 </w:t>
      </w:r>
    </w:p>
    <w:p w14:paraId="10903612">
      <w:pPr>
        <w:shd w:val="clear" w:color="auto"/>
        <w:tabs>
          <w:tab w:val="left" w:pos="525"/>
          <w:tab w:val="left" w:pos="105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2.采购人、</w:t>
      </w:r>
      <w:r>
        <w:rPr>
          <w:rFonts w:hint="eastAsia" w:ascii="宋体" w:hAnsi="宋体" w:cs="宋体"/>
          <w:bCs/>
          <w:color w:val="auto"/>
          <w:sz w:val="24"/>
          <w:highlight w:val="none"/>
          <w:lang w:eastAsia="zh-CN"/>
        </w:rPr>
        <w:t>北京中昌工程咨询有限公司</w:t>
      </w:r>
      <w:r>
        <w:rPr>
          <w:rFonts w:hint="eastAsia" w:ascii="宋体" w:hAnsi="宋体" w:cs="宋体"/>
          <w:color w:val="auto"/>
          <w:sz w:val="24"/>
          <w:highlight w:val="none"/>
        </w:rPr>
        <w:t>将按“投标邀请函”第7项规定的时间对投标供应商针对采购文件书面提出的要求澄清的问题进行书面答疑</w:t>
      </w:r>
      <w:r>
        <w:rPr>
          <w:rFonts w:hint="eastAsia" w:ascii="宋体" w:hAnsi="宋体" w:cs="宋体"/>
          <w:bCs/>
          <w:color w:val="auto"/>
          <w:sz w:val="24"/>
          <w:highlight w:val="none"/>
        </w:rPr>
        <w:t>。</w:t>
      </w:r>
    </w:p>
    <w:p w14:paraId="2E9D4996">
      <w:pPr>
        <w:shd w:val="clear" w:color="auto"/>
        <w:tabs>
          <w:tab w:val="left" w:pos="525"/>
          <w:tab w:val="left" w:pos="105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3.本文件的最终解释权归采购人。</w:t>
      </w:r>
    </w:p>
    <w:p w14:paraId="366DE4E7">
      <w:pPr>
        <w:numPr>
          <w:ilvl w:val="0"/>
          <w:numId w:val="2"/>
        </w:numPr>
        <w:shd w:val="clear" w:color="auto"/>
        <w:spacing w:line="360" w:lineRule="auto"/>
        <w:rPr>
          <w:rFonts w:ascii="宋体" w:hAnsi="宋体" w:cs="宋体"/>
          <w:bCs/>
          <w:color w:val="auto"/>
          <w:sz w:val="24"/>
          <w:highlight w:val="none"/>
        </w:rPr>
      </w:pPr>
      <w:r>
        <w:rPr>
          <w:rFonts w:hint="eastAsia" w:ascii="宋体" w:hAnsi="宋体" w:cs="宋体"/>
          <w:bCs/>
          <w:color w:val="auto"/>
          <w:sz w:val="24"/>
          <w:highlight w:val="none"/>
        </w:rPr>
        <w:t>采购文件的补充或修正：</w:t>
      </w:r>
    </w:p>
    <w:p w14:paraId="047D79CA">
      <w:pPr>
        <w:shd w:val="clear" w:color="auto"/>
        <w:tabs>
          <w:tab w:val="left" w:pos="525"/>
          <w:tab w:val="left" w:pos="105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1．投标截止时间15日前</w:t>
      </w:r>
      <w:r>
        <w:rPr>
          <w:rFonts w:hint="eastAsia" w:ascii="宋体" w:hAnsi="宋体" w:eastAsia="宋体" w:cs="宋体"/>
          <w:bCs/>
          <w:color w:val="auto"/>
          <w:sz w:val="24"/>
          <w:highlight w:val="none"/>
          <w:lang w:eastAsia="zh-CN"/>
        </w:rPr>
        <w:t>北京中昌工程咨询有限公司</w:t>
      </w:r>
      <w:r>
        <w:rPr>
          <w:rFonts w:hint="eastAsia" w:ascii="宋体" w:hAnsi="宋体" w:eastAsia="宋体" w:cs="宋体"/>
          <w:bCs/>
          <w:color w:val="auto"/>
          <w:sz w:val="24"/>
          <w:highlight w:val="none"/>
        </w:rPr>
        <w:t>可对招标文件进行必要的澄清或者修改，并视具体情况，延长投标截止时间。</w:t>
      </w:r>
    </w:p>
    <w:p w14:paraId="5BCE4721">
      <w:pPr>
        <w:shd w:val="clear" w:color="auto"/>
        <w:tabs>
          <w:tab w:val="left" w:pos="525"/>
          <w:tab w:val="left" w:pos="105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2．如需对招标文件进行补充或修正，</w:t>
      </w:r>
      <w:r>
        <w:rPr>
          <w:rFonts w:hint="eastAsia" w:ascii="宋体" w:hAnsi="宋体" w:eastAsia="宋体" w:cs="宋体"/>
          <w:bCs/>
          <w:color w:val="auto"/>
          <w:sz w:val="24"/>
          <w:highlight w:val="none"/>
          <w:lang w:eastAsia="zh-CN"/>
        </w:rPr>
        <w:t>北京中昌工程咨询有限公司</w:t>
      </w:r>
      <w:r>
        <w:rPr>
          <w:rFonts w:hint="eastAsia" w:ascii="宋体" w:hAnsi="宋体" w:eastAsia="宋体" w:cs="宋体"/>
          <w:bCs/>
          <w:color w:val="auto"/>
          <w:sz w:val="24"/>
          <w:highlight w:val="none"/>
        </w:rPr>
        <w:t>将在江苏省政府采购网上发布更正公告，其作为招标文件的一部分，与招标文件具有同等约束力。因供应商未尽注意义务，未及时全面地关注更正公告导致其提交的投标文件不符合采购要求而造成的损失及风险（包括但不限于未中标）由供应商自行承担。</w:t>
      </w:r>
    </w:p>
    <w:p w14:paraId="0724E8BD">
      <w:pPr>
        <w:shd w:val="clear" w:color="auto"/>
        <w:spacing w:line="360" w:lineRule="auto"/>
        <w:ind w:left="-2" w:firstLine="420"/>
        <w:rPr>
          <w:rFonts w:ascii="宋体" w:hAnsi="宋体" w:cs="宋体"/>
          <w:bCs/>
          <w:color w:val="auto"/>
          <w:sz w:val="24"/>
          <w:highlight w:val="none"/>
        </w:rPr>
      </w:pPr>
      <w:r>
        <w:rPr>
          <w:rFonts w:hint="eastAsia" w:ascii="宋体" w:hAnsi="宋体" w:cs="宋体"/>
          <w:bCs/>
          <w:color w:val="auto"/>
          <w:sz w:val="24"/>
          <w:highlight w:val="none"/>
        </w:rPr>
        <w:t>（五） 投标文件的组成：</w:t>
      </w:r>
      <w:r>
        <w:rPr>
          <w:rFonts w:hint="eastAsia" w:ascii="宋体" w:hAnsi="宋体" w:cs="宋体"/>
          <w:b/>
          <w:color w:val="auto"/>
          <w:sz w:val="24"/>
          <w:highlight w:val="none"/>
        </w:rPr>
        <w:t>相应内容上传至投标客户端</w:t>
      </w:r>
    </w:p>
    <w:p w14:paraId="0087CCDB">
      <w:pPr>
        <w:shd w:val="clear" w:color="auto"/>
        <w:tabs>
          <w:tab w:val="left" w:pos="525"/>
          <w:tab w:val="left" w:pos="1050"/>
        </w:tabs>
        <w:spacing w:line="360" w:lineRule="auto"/>
        <w:ind w:left="550"/>
        <w:rPr>
          <w:rFonts w:ascii="宋体" w:hAnsi="宋体" w:cs="宋体"/>
          <w:bCs/>
          <w:color w:val="auto"/>
          <w:sz w:val="24"/>
          <w:highlight w:val="none"/>
        </w:rPr>
      </w:pPr>
      <w:r>
        <w:rPr>
          <w:rFonts w:hint="eastAsia" w:ascii="宋体" w:hAnsi="宋体" w:cs="宋体"/>
          <w:bCs/>
          <w:color w:val="auto"/>
          <w:sz w:val="24"/>
          <w:highlight w:val="none"/>
        </w:rPr>
        <w:t>1.投标函（格式见附件）；</w:t>
      </w:r>
    </w:p>
    <w:p w14:paraId="74911E58">
      <w:pPr>
        <w:shd w:val="clear" w:color="auto"/>
        <w:tabs>
          <w:tab w:val="left" w:pos="525"/>
          <w:tab w:val="left" w:pos="1050"/>
        </w:tabs>
        <w:spacing w:line="360" w:lineRule="auto"/>
        <w:ind w:left="550"/>
        <w:rPr>
          <w:rFonts w:ascii="宋体" w:hAnsi="宋体" w:cs="宋体"/>
          <w:bCs/>
          <w:color w:val="auto"/>
          <w:sz w:val="24"/>
          <w:highlight w:val="none"/>
        </w:rPr>
      </w:pPr>
      <w:r>
        <w:rPr>
          <w:rFonts w:hint="eastAsia" w:ascii="宋体" w:hAnsi="宋体" w:cs="宋体"/>
          <w:bCs/>
          <w:color w:val="auto"/>
          <w:sz w:val="24"/>
          <w:highlight w:val="none"/>
        </w:rPr>
        <w:t>2.证明文件：</w:t>
      </w:r>
    </w:p>
    <w:p w14:paraId="53C65EF6">
      <w:pPr>
        <w:shd w:val="clear" w:color="auto"/>
        <w:tabs>
          <w:tab w:val="left" w:pos="420"/>
          <w:tab w:val="left" w:pos="720"/>
          <w:tab w:val="left" w:pos="136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2.1资格、资信证明文件</w:t>
      </w:r>
      <w:r>
        <w:rPr>
          <w:rFonts w:hint="eastAsia" w:ascii="宋体" w:hAnsi="宋体" w:cs="宋体"/>
          <w:b/>
          <w:color w:val="auto"/>
          <w:sz w:val="24"/>
          <w:highlight w:val="none"/>
        </w:rPr>
        <w:t>（相关证明材料原件扫描后上传，身份证应为正、反面）</w:t>
      </w:r>
    </w:p>
    <w:p w14:paraId="2FCDC77E">
      <w:pPr>
        <w:shd w:val="clear" w:color="auto"/>
        <w:tabs>
          <w:tab w:val="left" w:pos="1276"/>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（1）关于资格的声明函原件扫描件；</w:t>
      </w:r>
      <w:r>
        <w:rPr>
          <w:rFonts w:hint="eastAsia" w:ascii="宋体" w:hAnsi="宋体" w:cs="宋体"/>
          <w:b/>
          <w:bCs/>
          <w:color w:val="auto"/>
          <w:sz w:val="24"/>
          <w:highlight w:val="none"/>
        </w:rPr>
        <w:t>（格式见附件）</w:t>
      </w:r>
    </w:p>
    <w:p w14:paraId="0A10857F">
      <w:pPr>
        <w:shd w:val="clear" w:color="auto"/>
        <w:tabs>
          <w:tab w:val="left" w:pos="1276"/>
        </w:tabs>
        <w:spacing w:line="360" w:lineRule="auto"/>
        <w:ind w:firstLine="480"/>
        <w:rPr>
          <w:rFonts w:ascii="宋体" w:hAnsi="宋体" w:cs="宋体"/>
          <w:color w:val="auto"/>
          <w:sz w:val="24"/>
          <w:highlight w:val="none"/>
        </w:rPr>
      </w:pPr>
      <w:r>
        <w:rPr>
          <w:rFonts w:hint="eastAsia" w:ascii="宋体" w:hAnsi="宋体" w:cs="宋体"/>
          <w:bCs/>
          <w:color w:val="auto"/>
          <w:sz w:val="24"/>
          <w:highlight w:val="none"/>
        </w:rPr>
        <w:t>（2）投标</w:t>
      </w:r>
      <w:r>
        <w:rPr>
          <w:rFonts w:hint="eastAsia" w:ascii="宋体" w:hAnsi="宋体" w:cs="宋体"/>
          <w:color w:val="auto"/>
          <w:sz w:val="24"/>
          <w:highlight w:val="none"/>
        </w:rPr>
        <w:t>供应商企业营业执照</w:t>
      </w:r>
      <w:r>
        <w:rPr>
          <w:rFonts w:hint="eastAsia" w:ascii="宋体" w:hAnsi="宋体" w:cs="宋体"/>
          <w:bCs/>
          <w:color w:val="auto"/>
          <w:sz w:val="24"/>
          <w:highlight w:val="none"/>
        </w:rPr>
        <w:t>或相关部门的登记证明文件或</w:t>
      </w:r>
      <w:r>
        <w:rPr>
          <w:rFonts w:hint="eastAsia" w:ascii="宋体" w:hAnsi="宋体" w:cs="宋体"/>
          <w:color w:val="auto"/>
          <w:sz w:val="24"/>
          <w:highlight w:val="none"/>
        </w:rPr>
        <w:t>自然人</w:t>
      </w:r>
      <w:r>
        <w:rPr>
          <w:rFonts w:hint="eastAsia" w:ascii="宋体" w:hAnsi="宋体" w:cs="宋体"/>
          <w:bCs/>
          <w:color w:val="auto"/>
          <w:sz w:val="24"/>
          <w:highlight w:val="none"/>
        </w:rPr>
        <w:t>身份证明的</w:t>
      </w:r>
      <w:r>
        <w:rPr>
          <w:rFonts w:hint="eastAsia" w:ascii="宋体" w:hAnsi="宋体" w:cs="宋体"/>
          <w:color w:val="auto"/>
          <w:sz w:val="24"/>
          <w:highlight w:val="none"/>
        </w:rPr>
        <w:t>原件扫描件；</w:t>
      </w:r>
    </w:p>
    <w:p w14:paraId="5753A3DD">
      <w:pPr>
        <w:shd w:val="clear" w:color="auto"/>
        <w:tabs>
          <w:tab w:val="left" w:pos="1276"/>
        </w:tabs>
        <w:spacing w:line="360" w:lineRule="auto"/>
        <w:ind w:firstLine="480"/>
        <w:rPr>
          <w:rFonts w:hint="eastAsia" w:ascii="宋体" w:hAnsi="宋体" w:eastAsia="宋体" w:cs="宋体"/>
          <w:color w:val="auto"/>
          <w:sz w:val="24"/>
          <w:highlight w:val="none"/>
          <w:lang w:eastAsia="zh-CN"/>
        </w:rPr>
      </w:pPr>
      <w:r>
        <w:rPr>
          <w:rFonts w:hint="eastAsia" w:ascii="宋体" w:hAnsi="宋体" w:cs="宋体"/>
          <w:bCs/>
          <w:color w:val="auto"/>
          <w:sz w:val="24"/>
          <w:highlight w:val="none"/>
        </w:rPr>
        <w:t>（3）投标供应商法定代表人授权委托书原件扫描件；</w:t>
      </w:r>
      <w:r>
        <w:rPr>
          <w:rFonts w:hint="eastAsia" w:ascii="宋体" w:hAnsi="宋体" w:cs="宋体"/>
          <w:color w:val="auto"/>
          <w:sz w:val="24"/>
          <w:highlight w:val="none"/>
        </w:rPr>
        <w:t>（</w:t>
      </w:r>
      <w:r>
        <w:rPr>
          <w:rFonts w:hint="eastAsia" w:ascii="宋体" w:hAnsi="宋体" w:cs="宋体"/>
          <w:b/>
          <w:bCs/>
          <w:color w:val="auto"/>
          <w:sz w:val="24"/>
          <w:highlight w:val="none"/>
        </w:rPr>
        <w:t>法定代表人亲自参与投标的除外，格式见附件</w:t>
      </w:r>
      <w:r>
        <w:rPr>
          <w:rFonts w:hint="eastAsia" w:ascii="宋体" w:hAnsi="宋体" w:cs="宋体"/>
          <w:color w:val="auto"/>
          <w:sz w:val="24"/>
          <w:highlight w:val="none"/>
        </w:rPr>
        <w:t>）</w:t>
      </w:r>
      <w:r>
        <w:rPr>
          <w:rFonts w:hint="eastAsia" w:ascii="宋体" w:hAnsi="宋体" w:cs="宋体"/>
          <w:color w:val="auto"/>
          <w:sz w:val="24"/>
          <w:highlight w:val="none"/>
          <w:lang w:eastAsia="zh-CN"/>
        </w:rPr>
        <w:t>；</w:t>
      </w:r>
    </w:p>
    <w:p w14:paraId="53B8C76D">
      <w:pPr>
        <w:shd w:val="clear" w:color="auto"/>
        <w:tabs>
          <w:tab w:val="left" w:pos="1276"/>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（4）投标供应商法定代表人身份证及法定代表人授权代表身份证原件扫描件；</w:t>
      </w:r>
    </w:p>
    <w:p w14:paraId="7BB1222D">
      <w:pPr>
        <w:shd w:val="clear" w:color="auto"/>
        <w:tabs>
          <w:tab w:val="left" w:pos="1050"/>
          <w:tab w:val="left" w:pos="120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（5）投标供应商近一年中任意一个月份(不含投标当月) 的财务状况报告（资产负债表和利润表）</w:t>
      </w:r>
      <w:r>
        <w:rPr>
          <w:rFonts w:hint="eastAsia" w:ascii="宋体" w:hAnsi="宋体" w:cs="宋体"/>
          <w:color w:val="auto"/>
          <w:sz w:val="24"/>
          <w:highlight w:val="none"/>
        </w:rPr>
        <w:t>原件扫描件；</w:t>
      </w:r>
    </w:p>
    <w:p w14:paraId="04C5515C">
      <w:pPr>
        <w:shd w:val="clear" w:color="auto"/>
        <w:tabs>
          <w:tab w:val="left" w:pos="1050"/>
          <w:tab w:val="left" w:pos="120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（6）投标供应商近一年中任意一个月份(不含投标当月) 的依法缴纳税收的相关材料（提供相关主管部门证明或银行代扣证明）</w:t>
      </w:r>
      <w:r>
        <w:rPr>
          <w:rFonts w:hint="eastAsia" w:ascii="宋体" w:hAnsi="宋体" w:cs="宋体"/>
          <w:color w:val="auto"/>
          <w:sz w:val="24"/>
          <w:highlight w:val="none"/>
        </w:rPr>
        <w:t>原件扫描件；</w:t>
      </w:r>
    </w:p>
    <w:p w14:paraId="02746659">
      <w:pPr>
        <w:shd w:val="clear" w:color="auto"/>
        <w:tabs>
          <w:tab w:val="left" w:pos="360"/>
          <w:tab w:val="left" w:pos="60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（7）投标供应商近一年中任意一个月（不含投标当月）的依法缴纳社会保障资金的相关材料（提供相关主管部门证明或银行代扣证明）</w:t>
      </w:r>
      <w:r>
        <w:rPr>
          <w:rFonts w:hint="eastAsia" w:ascii="宋体" w:hAnsi="宋体" w:cs="宋体"/>
          <w:color w:val="auto"/>
          <w:sz w:val="24"/>
          <w:highlight w:val="none"/>
        </w:rPr>
        <w:t>原件扫描件；</w:t>
      </w:r>
    </w:p>
    <w:p w14:paraId="3EE3EE2E">
      <w:pPr>
        <w:shd w:val="clear" w:color="auto"/>
        <w:tabs>
          <w:tab w:val="left" w:pos="360"/>
          <w:tab w:val="left" w:pos="60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（8）提供授权委托人由法定的社保收缴部门出具的近一年中任意一个月（不含投标当月）的投标供应商依法为其缴纳社会保险证明</w:t>
      </w:r>
      <w:r>
        <w:rPr>
          <w:rFonts w:hint="eastAsia" w:ascii="宋体" w:hAnsi="宋体" w:cs="宋体"/>
          <w:color w:val="auto"/>
          <w:sz w:val="24"/>
          <w:highlight w:val="none"/>
        </w:rPr>
        <w:t>原件扫描件</w:t>
      </w:r>
      <w:r>
        <w:rPr>
          <w:rFonts w:hint="eastAsia" w:ascii="宋体" w:hAnsi="宋体" w:cs="宋体"/>
          <w:b/>
          <w:color w:val="auto"/>
          <w:sz w:val="24"/>
          <w:highlight w:val="none"/>
        </w:rPr>
        <w:t>（</w:t>
      </w:r>
      <w:r>
        <w:rPr>
          <w:rFonts w:hint="eastAsia" w:ascii="宋体" w:hAnsi="宋体" w:cs="宋体"/>
          <w:b/>
          <w:bCs/>
          <w:color w:val="auto"/>
          <w:sz w:val="24"/>
          <w:highlight w:val="none"/>
        </w:rPr>
        <w:t>网上查询带有二维码/验证码的打印件可作原件使用，如投标供应商成立时间迟于要求开始的时间，则提供成立时间至采购文件中社保要求的截止时间内的社保缴费证明</w:t>
      </w:r>
      <w:r>
        <w:rPr>
          <w:rFonts w:hint="eastAsia" w:ascii="宋体" w:hAnsi="宋体" w:cs="宋体"/>
          <w:b/>
          <w:color w:val="auto"/>
          <w:sz w:val="24"/>
          <w:highlight w:val="none"/>
        </w:rPr>
        <w:t>）</w:t>
      </w:r>
    </w:p>
    <w:p w14:paraId="356C13B9">
      <w:pPr>
        <w:shd w:val="clear" w:color="auto"/>
        <w:tabs>
          <w:tab w:val="left" w:pos="1050"/>
          <w:tab w:val="left" w:pos="1200"/>
          <w:tab w:val="left" w:pos="1365"/>
        </w:tabs>
        <w:spacing w:line="360" w:lineRule="auto"/>
        <w:ind w:firstLine="480"/>
        <w:rPr>
          <w:rFonts w:ascii="宋体" w:hAnsi="宋体" w:cs="宋体"/>
          <w:b/>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9</w:t>
      </w:r>
      <w:r>
        <w:rPr>
          <w:rFonts w:hint="eastAsia" w:ascii="宋体" w:hAnsi="宋体" w:cs="宋体"/>
          <w:bCs/>
          <w:color w:val="auto"/>
          <w:sz w:val="24"/>
          <w:highlight w:val="none"/>
        </w:rPr>
        <w:t>）政府采购投标及履约承诺函</w:t>
      </w:r>
      <w:r>
        <w:rPr>
          <w:rFonts w:hint="eastAsia" w:ascii="宋体" w:hAnsi="宋体" w:cs="宋体"/>
          <w:b/>
          <w:color w:val="auto"/>
          <w:sz w:val="24"/>
          <w:highlight w:val="none"/>
        </w:rPr>
        <w:t>（格式见附件）。</w:t>
      </w:r>
    </w:p>
    <w:p w14:paraId="6316618C">
      <w:pPr>
        <w:shd w:val="clear" w:color="auto"/>
        <w:tabs>
          <w:tab w:val="left" w:pos="1050"/>
          <w:tab w:val="left" w:pos="1200"/>
          <w:tab w:val="left" w:pos="1365"/>
        </w:tabs>
        <w:spacing w:line="360" w:lineRule="auto"/>
        <w:ind w:firstLine="480"/>
        <w:rPr>
          <w:rFonts w:ascii="宋体" w:hAnsi="宋体" w:cs="宋体"/>
          <w:b w:val="0"/>
          <w:bCs/>
          <w:color w:val="auto"/>
          <w:sz w:val="24"/>
          <w:highlight w:val="none"/>
        </w:rPr>
      </w:pPr>
      <w:r>
        <w:rPr>
          <w:rFonts w:hint="eastAsia" w:ascii="宋体" w:hAnsi="宋体" w:cs="宋体"/>
          <w:b w:val="0"/>
          <w:bCs/>
          <w:color w:val="auto"/>
          <w:sz w:val="24"/>
          <w:highlight w:val="none"/>
        </w:rPr>
        <w:t>（1</w:t>
      </w:r>
      <w:r>
        <w:rPr>
          <w:rFonts w:hint="eastAsia" w:ascii="宋体" w:hAnsi="宋体" w:cs="宋体"/>
          <w:b w:val="0"/>
          <w:bCs/>
          <w:color w:val="auto"/>
          <w:sz w:val="24"/>
          <w:highlight w:val="none"/>
          <w:lang w:val="en-US" w:eastAsia="zh-CN"/>
        </w:rPr>
        <w:t>0</w:t>
      </w:r>
      <w:r>
        <w:rPr>
          <w:rFonts w:hint="eastAsia" w:ascii="宋体" w:hAnsi="宋体" w:cs="宋体"/>
          <w:b w:val="0"/>
          <w:bCs/>
          <w:color w:val="auto"/>
          <w:sz w:val="24"/>
          <w:highlight w:val="none"/>
        </w:rPr>
        <w:t>）供应商</w:t>
      </w:r>
      <w:r>
        <w:rPr>
          <w:rFonts w:hint="eastAsia" w:ascii="宋体" w:hAnsi="宋体" w:cs="宋体"/>
          <w:b w:val="0"/>
          <w:bCs/>
          <w:color w:val="auto"/>
          <w:sz w:val="24"/>
          <w:highlight w:val="none"/>
          <w:lang w:val="en-US" w:eastAsia="zh-CN"/>
        </w:rPr>
        <w:t>如</w:t>
      </w:r>
      <w:r>
        <w:rPr>
          <w:rFonts w:hint="eastAsia" w:ascii="宋体" w:hAnsi="宋体" w:cs="宋体"/>
          <w:b w:val="0"/>
          <w:bCs/>
          <w:color w:val="auto"/>
          <w:sz w:val="24"/>
          <w:highlight w:val="none"/>
        </w:rPr>
        <w:t>为中小微企业</w:t>
      </w:r>
      <w:r>
        <w:rPr>
          <w:rFonts w:hint="eastAsia" w:ascii="宋体" w:hAnsi="宋体" w:cs="宋体"/>
          <w:b w:val="0"/>
          <w:bCs/>
          <w:color w:val="auto"/>
          <w:sz w:val="24"/>
          <w:highlight w:val="none"/>
          <w:lang w:eastAsia="zh-CN"/>
        </w:rPr>
        <w:t>：</w:t>
      </w:r>
      <w:r>
        <w:rPr>
          <w:rFonts w:hint="eastAsia" w:ascii="宋体" w:hAnsi="宋体" w:cs="宋体"/>
          <w:b w:val="0"/>
          <w:bCs/>
          <w:color w:val="auto"/>
          <w:sz w:val="24"/>
          <w:highlight w:val="none"/>
        </w:rPr>
        <w:t>提供《中小企业声明函》（格式见附件）；</w:t>
      </w:r>
      <w:r>
        <w:rPr>
          <w:rFonts w:hint="eastAsia" w:ascii="宋体" w:hAnsi="宋体" w:cs="宋体"/>
          <w:b w:val="0"/>
          <w:bCs/>
          <w:color w:val="auto"/>
          <w:sz w:val="24"/>
          <w:highlight w:val="none"/>
          <w:lang w:val="en-US" w:eastAsia="zh-CN"/>
        </w:rPr>
        <w:t>如</w:t>
      </w:r>
      <w:r>
        <w:rPr>
          <w:rFonts w:hint="eastAsia" w:ascii="宋体" w:hAnsi="宋体" w:cs="宋体"/>
          <w:b w:val="0"/>
          <w:bCs/>
          <w:color w:val="auto"/>
          <w:sz w:val="24"/>
          <w:highlight w:val="none"/>
        </w:rPr>
        <w:t>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格式见附件）。</w:t>
      </w:r>
    </w:p>
    <w:p w14:paraId="5D18DF90">
      <w:pPr>
        <w:shd w:val="clear" w:color="auto"/>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7FD3392B">
      <w:pPr>
        <w:shd w:val="clear" w:color="auto"/>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2）若法定代表人或负责人或经营者（法定代表人或负责人或经营者姓名必须与营业执照上的一致）亲自参加投标不需提供法定代表人授权及有关法定代表人授权代表的社保证明，只需提供身份证明与营业执照即可。</w:t>
      </w:r>
    </w:p>
    <w:p w14:paraId="15B649B9">
      <w:pPr>
        <w:shd w:val="clear" w:color="auto"/>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2.2补充性文件</w:t>
      </w:r>
    </w:p>
    <w:p w14:paraId="434A5019">
      <w:pPr>
        <w:widowControl/>
        <w:shd w:val="clear" w:color="auto"/>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（1）报价供应商简介和经营情况说明；</w:t>
      </w:r>
    </w:p>
    <w:p w14:paraId="5AC58813">
      <w:pPr>
        <w:widowControl/>
        <w:shd w:val="clear" w:color="auto"/>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（2）拟投入本项目人员一览表（格式见附件）</w:t>
      </w:r>
    </w:p>
    <w:p w14:paraId="03B06C1C">
      <w:pPr>
        <w:shd w:val="clear" w:color="auto"/>
        <w:spacing w:line="360" w:lineRule="auto"/>
        <w:ind w:firstLine="480"/>
        <w:rPr>
          <w:rFonts w:ascii="宋体" w:hAnsi="宋体" w:cs="宋体"/>
          <w:bCs/>
          <w:color w:val="auto"/>
          <w:sz w:val="24"/>
          <w:highlight w:val="none"/>
        </w:rPr>
      </w:pPr>
      <w:r>
        <w:rPr>
          <w:rFonts w:hint="eastAsia" w:ascii="宋体" w:hAnsi="宋体" w:cs="宋体"/>
          <w:color w:val="auto"/>
          <w:sz w:val="24"/>
          <w:highlight w:val="none"/>
        </w:rPr>
        <w:t>（3）</w:t>
      </w:r>
      <w:r>
        <w:rPr>
          <w:rFonts w:hint="eastAsia" w:ascii="宋体" w:hAnsi="宋体" w:cs="宋体"/>
          <w:bCs/>
          <w:color w:val="auto"/>
          <w:sz w:val="24"/>
          <w:highlight w:val="none"/>
        </w:rPr>
        <w:t>业绩一览表（格式见附件）</w:t>
      </w:r>
    </w:p>
    <w:p w14:paraId="0E6F0F0D">
      <w:pPr>
        <w:shd w:val="clear" w:color="auto"/>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（4）投标偏离表（格式见附件）</w:t>
      </w:r>
    </w:p>
    <w:p w14:paraId="0A3E2BF1">
      <w:pPr>
        <w:shd w:val="clear" w:color="auto"/>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（5）供应商认为必须提供的其他证明材料（参考评分标准）。</w:t>
      </w:r>
    </w:p>
    <w:p w14:paraId="19D1EBE4">
      <w:pPr>
        <w:shd w:val="clear" w:color="auto"/>
        <w:spacing w:line="360" w:lineRule="auto"/>
        <w:ind w:firstLine="360"/>
        <w:rPr>
          <w:rFonts w:ascii="宋体" w:hAnsi="宋体" w:cs="宋体"/>
          <w:color w:val="auto"/>
          <w:sz w:val="24"/>
          <w:highlight w:val="none"/>
        </w:rPr>
      </w:pPr>
      <w:r>
        <w:rPr>
          <w:rFonts w:hint="eastAsia" w:ascii="宋体" w:hAnsi="宋体" w:cs="宋体"/>
          <w:bCs/>
          <w:color w:val="auto"/>
          <w:sz w:val="24"/>
          <w:highlight w:val="none"/>
        </w:rPr>
        <w:t>3.</w:t>
      </w:r>
      <w:r>
        <w:rPr>
          <w:rFonts w:hint="eastAsia" w:ascii="宋体" w:hAnsi="宋体" w:cs="宋体"/>
          <w:color w:val="auto"/>
          <w:sz w:val="24"/>
          <w:highlight w:val="none"/>
        </w:rPr>
        <w:t>开标一览表（格式见附件）</w:t>
      </w:r>
    </w:p>
    <w:p w14:paraId="5BABF9CD">
      <w:pPr>
        <w:shd w:val="clear" w:color="auto"/>
        <w:spacing w:line="360" w:lineRule="auto"/>
        <w:ind w:firstLine="360"/>
        <w:rPr>
          <w:rFonts w:ascii="宋体" w:hAnsi="宋体" w:cs="宋体"/>
          <w:color w:val="auto"/>
          <w:sz w:val="24"/>
          <w:highlight w:val="none"/>
        </w:rPr>
      </w:pPr>
      <w:r>
        <w:rPr>
          <w:rFonts w:hint="eastAsia" w:ascii="宋体" w:hAnsi="宋体" w:cs="宋体"/>
          <w:color w:val="auto"/>
          <w:sz w:val="24"/>
          <w:highlight w:val="none"/>
        </w:rPr>
        <w:t>4.细目报价表（格式见附件）</w:t>
      </w:r>
    </w:p>
    <w:p w14:paraId="17FA839C">
      <w:pPr>
        <w:shd w:val="clear" w:color="auto"/>
        <w:spacing w:line="360" w:lineRule="auto"/>
        <w:ind w:firstLine="360"/>
        <w:rPr>
          <w:rFonts w:ascii="宋体" w:hAnsi="宋体" w:cs="宋体"/>
          <w:bCs/>
          <w:color w:val="auto"/>
          <w:sz w:val="24"/>
          <w:szCs w:val="22"/>
          <w:highlight w:val="none"/>
        </w:rPr>
      </w:pPr>
      <w:r>
        <w:rPr>
          <w:rFonts w:hint="eastAsia" w:ascii="宋体" w:hAnsi="宋体" w:cs="宋体"/>
          <w:bCs/>
          <w:color w:val="auto"/>
          <w:sz w:val="24"/>
          <w:szCs w:val="22"/>
          <w:highlight w:val="none"/>
        </w:rPr>
        <w:t>5.</w:t>
      </w:r>
      <w:r>
        <w:rPr>
          <w:rFonts w:hint="eastAsia" w:ascii="宋体" w:hAnsi="宋体" w:cs="宋体"/>
          <w:b/>
          <w:color w:val="auto"/>
          <w:sz w:val="24"/>
          <w:highlight w:val="none"/>
        </w:rPr>
        <w:t>技术文件部分（服务方案）（暗标）</w:t>
      </w:r>
    </w:p>
    <w:p w14:paraId="71014302">
      <w:pPr>
        <w:shd w:val="clear" w:color="auto"/>
        <w:tabs>
          <w:tab w:val="left" w:pos="525"/>
          <w:tab w:val="left" w:pos="1050"/>
        </w:tabs>
        <w:spacing w:line="360" w:lineRule="auto"/>
        <w:ind w:firstLine="480"/>
        <w:rPr>
          <w:rFonts w:ascii="宋体" w:hAnsi="宋体" w:cs="宋体"/>
          <w:b/>
          <w:bCs/>
          <w:color w:val="auto"/>
          <w:sz w:val="24"/>
          <w:szCs w:val="28"/>
          <w:highlight w:val="none"/>
        </w:rPr>
      </w:pPr>
      <w:r>
        <w:rPr>
          <w:rFonts w:hint="eastAsia" w:ascii="宋体" w:hAnsi="宋体" w:cs="宋体"/>
          <w:b/>
          <w:bCs/>
          <w:color w:val="auto"/>
          <w:sz w:val="24"/>
          <w:szCs w:val="28"/>
          <w:highlight w:val="none"/>
        </w:rPr>
        <w:t>（六）投标文件制作要求（技术标暗标）</w:t>
      </w:r>
    </w:p>
    <w:p w14:paraId="59372BC9">
      <w:pPr>
        <w:shd w:val="clear" w:color="auto"/>
        <w:tabs>
          <w:tab w:val="left" w:pos="525"/>
          <w:tab w:val="left" w:pos="1050"/>
        </w:tabs>
        <w:spacing w:line="360" w:lineRule="auto"/>
        <w:ind w:firstLine="480"/>
        <w:rPr>
          <w:rFonts w:ascii="宋体" w:hAnsi="宋体" w:cs="宋体"/>
          <w:color w:val="auto"/>
          <w:sz w:val="24"/>
          <w:szCs w:val="28"/>
          <w:highlight w:val="none"/>
        </w:rPr>
      </w:pPr>
      <w:r>
        <w:rPr>
          <w:rFonts w:hint="eastAsia" w:ascii="宋体" w:hAnsi="宋体" w:cs="宋体"/>
          <w:color w:val="auto"/>
          <w:sz w:val="24"/>
          <w:szCs w:val="28"/>
          <w:highlight w:val="none"/>
        </w:rPr>
        <w:t>1.所有文件、往来函件均应使用简体中文（规格、型号辅助符号例外）。</w:t>
      </w:r>
    </w:p>
    <w:p w14:paraId="0C150058">
      <w:pPr>
        <w:shd w:val="clear" w:color="auto"/>
        <w:tabs>
          <w:tab w:val="left" w:pos="525"/>
          <w:tab w:val="left" w:pos="1050"/>
        </w:tabs>
        <w:spacing w:line="360" w:lineRule="auto"/>
        <w:ind w:firstLine="480"/>
        <w:rPr>
          <w:rFonts w:ascii="宋体" w:hAnsi="宋体" w:cs="宋体"/>
          <w:color w:val="auto"/>
          <w:sz w:val="24"/>
          <w:szCs w:val="28"/>
          <w:highlight w:val="none"/>
        </w:rPr>
      </w:pPr>
      <w:r>
        <w:rPr>
          <w:rFonts w:hint="eastAsia" w:ascii="宋体" w:hAnsi="宋体" w:cs="宋体"/>
          <w:color w:val="auto"/>
          <w:sz w:val="24"/>
          <w:szCs w:val="28"/>
          <w:highlight w:val="none"/>
        </w:rPr>
        <w:t>2.</w:t>
      </w:r>
      <w:r>
        <w:rPr>
          <w:rFonts w:hint="eastAsia" w:ascii="宋体" w:hAnsi="宋体" w:cs="宋体"/>
          <w:bCs/>
          <w:color w:val="auto"/>
          <w:sz w:val="24"/>
          <w:highlight w:val="none"/>
        </w:rPr>
        <w:t>投标</w:t>
      </w:r>
      <w:r>
        <w:rPr>
          <w:rFonts w:hint="eastAsia" w:ascii="宋体" w:hAnsi="宋体" w:cs="宋体"/>
          <w:color w:val="auto"/>
          <w:sz w:val="24"/>
          <w:szCs w:val="28"/>
          <w:highlight w:val="none"/>
        </w:rPr>
        <w:t>文件由</w:t>
      </w:r>
      <w:r>
        <w:rPr>
          <w:rFonts w:hint="eastAsia" w:ascii="宋体" w:hAnsi="宋体" w:cs="宋体"/>
          <w:bCs/>
          <w:color w:val="auto"/>
          <w:sz w:val="24"/>
          <w:highlight w:val="none"/>
        </w:rPr>
        <w:t>投标</w:t>
      </w:r>
      <w:r>
        <w:rPr>
          <w:rFonts w:hint="eastAsia" w:ascii="宋体" w:hAnsi="宋体" w:cs="宋体"/>
          <w:color w:val="auto"/>
          <w:sz w:val="24"/>
          <w:szCs w:val="28"/>
          <w:highlight w:val="none"/>
        </w:rPr>
        <w:t>供应商按给定格式如实填写（编写），须有法人（盖章）、法定代表人或法定代表人授权代表签字或盖章，方为有效，未尽事宜可自行补充。</w:t>
      </w:r>
    </w:p>
    <w:p w14:paraId="7E8C58D7">
      <w:pPr>
        <w:shd w:val="clear" w:color="auto"/>
        <w:tabs>
          <w:tab w:val="left" w:pos="525"/>
          <w:tab w:val="left" w:pos="1050"/>
        </w:tabs>
        <w:spacing w:line="360" w:lineRule="auto"/>
        <w:ind w:firstLine="480"/>
        <w:rPr>
          <w:rFonts w:ascii="宋体" w:hAnsi="宋体" w:cs="宋体"/>
          <w:color w:val="auto"/>
          <w:sz w:val="24"/>
          <w:szCs w:val="28"/>
          <w:highlight w:val="none"/>
        </w:rPr>
      </w:pPr>
      <w:r>
        <w:rPr>
          <w:rFonts w:hint="eastAsia" w:ascii="宋体" w:hAnsi="宋体" w:cs="宋体"/>
          <w:color w:val="auto"/>
          <w:sz w:val="24"/>
          <w:szCs w:val="28"/>
          <w:highlight w:val="none"/>
        </w:rPr>
        <w:t>3.如无特别说明，</w:t>
      </w:r>
      <w:r>
        <w:rPr>
          <w:rFonts w:hint="eastAsia" w:ascii="宋体" w:hAnsi="宋体" w:cs="宋体"/>
          <w:bCs/>
          <w:color w:val="auto"/>
          <w:sz w:val="24"/>
          <w:highlight w:val="none"/>
        </w:rPr>
        <w:t>投标</w:t>
      </w:r>
      <w:r>
        <w:rPr>
          <w:rFonts w:hint="eastAsia" w:ascii="宋体" w:hAnsi="宋体" w:cs="宋体"/>
          <w:color w:val="auto"/>
          <w:sz w:val="24"/>
          <w:szCs w:val="28"/>
          <w:highlight w:val="none"/>
        </w:rPr>
        <w:t>供应商报价一律以人民币为投标结算货币，结算单位为“元”。</w:t>
      </w:r>
    </w:p>
    <w:p w14:paraId="5127E086">
      <w:pPr>
        <w:shd w:val="clear" w:color="auto"/>
        <w:tabs>
          <w:tab w:val="left" w:pos="525"/>
          <w:tab w:val="left" w:pos="1050"/>
        </w:tabs>
        <w:spacing w:line="360" w:lineRule="auto"/>
        <w:ind w:firstLine="480"/>
        <w:rPr>
          <w:rFonts w:ascii="宋体" w:hAnsi="宋体" w:cs="宋体"/>
          <w:color w:val="auto"/>
          <w:sz w:val="24"/>
          <w:szCs w:val="28"/>
          <w:highlight w:val="none"/>
        </w:rPr>
      </w:pPr>
      <w:r>
        <w:rPr>
          <w:rFonts w:hint="eastAsia" w:ascii="宋体" w:hAnsi="宋体" w:cs="宋体"/>
          <w:color w:val="auto"/>
          <w:sz w:val="24"/>
          <w:szCs w:val="28"/>
          <w:highlight w:val="none"/>
        </w:rPr>
        <w:t>4.</w:t>
      </w:r>
      <w:r>
        <w:rPr>
          <w:rFonts w:hint="eastAsia" w:ascii="宋体" w:hAnsi="宋体" w:cs="宋体"/>
          <w:bCs/>
          <w:color w:val="auto"/>
          <w:sz w:val="24"/>
          <w:highlight w:val="none"/>
        </w:rPr>
        <w:t>投标</w:t>
      </w:r>
      <w:r>
        <w:rPr>
          <w:rFonts w:hint="eastAsia" w:ascii="宋体" w:hAnsi="宋体" w:cs="宋体"/>
          <w:color w:val="auto"/>
          <w:sz w:val="24"/>
          <w:szCs w:val="28"/>
          <w:highlight w:val="none"/>
        </w:rPr>
        <w:t>文件格式部分，应由</w:t>
      </w:r>
      <w:r>
        <w:rPr>
          <w:rFonts w:hint="eastAsia" w:ascii="宋体" w:hAnsi="宋体" w:cs="宋体"/>
          <w:bCs/>
          <w:color w:val="auto"/>
          <w:sz w:val="24"/>
          <w:highlight w:val="none"/>
        </w:rPr>
        <w:t>投标</w:t>
      </w:r>
      <w:r>
        <w:rPr>
          <w:rFonts w:hint="eastAsia" w:ascii="宋体" w:hAnsi="宋体" w:cs="宋体"/>
          <w:color w:val="auto"/>
          <w:sz w:val="24"/>
          <w:szCs w:val="28"/>
          <w:highlight w:val="none"/>
        </w:rPr>
        <w:t>供应商按给定格式提供，不得更改。</w:t>
      </w:r>
    </w:p>
    <w:p w14:paraId="3762BF3C">
      <w:pPr>
        <w:shd w:val="clear" w:color="auto"/>
        <w:tabs>
          <w:tab w:val="left" w:pos="525"/>
          <w:tab w:val="left" w:pos="1050"/>
        </w:tabs>
        <w:spacing w:line="360" w:lineRule="auto"/>
        <w:ind w:firstLine="480"/>
        <w:rPr>
          <w:rFonts w:ascii="宋体" w:hAnsi="宋体" w:cs="宋体"/>
          <w:color w:val="auto"/>
          <w:sz w:val="24"/>
          <w:szCs w:val="28"/>
          <w:highlight w:val="none"/>
        </w:rPr>
      </w:pPr>
      <w:r>
        <w:rPr>
          <w:rFonts w:hint="eastAsia" w:ascii="宋体" w:hAnsi="宋体" w:cs="宋体"/>
          <w:color w:val="auto"/>
          <w:sz w:val="24"/>
          <w:szCs w:val="28"/>
          <w:highlight w:val="none"/>
        </w:rPr>
        <w:t>5.</w:t>
      </w:r>
      <w:r>
        <w:rPr>
          <w:rFonts w:hint="eastAsia" w:ascii="宋体" w:hAnsi="宋体" w:cs="宋体"/>
          <w:bCs/>
          <w:color w:val="auto"/>
          <w:sz w:val="24"/>
          <w:highlight w:val="none"/>
        </w:rPr>
        <w:t>投标文件按照投标函格式中的顺序制作，并请</w:t>
      </w:r>
      <w:r>
        <w:rPr>
          <w:rFonts w:hint="eastAsia" w:ascii="宋体" w:hAnsi="宋体" w:cs="宋体"/>
          <w:b/>
          <w:color w:val="auto"/>
          <w:sz w:val="24"/>
          <w:highlight w:val="none"/>
        </w:rPr>
        <w:t>编制目录</w:t>
      </w:r>
      <w:r>
        <w:rPr>
          <w:rFonts w:hint="eastAsia" w:ascii="宋体" w:hAnsi="宋体" w:cs="宋体"/>
          <w:bCs/>
          <w:color w:val="auto"/>
          <w:sz w:val="24"/>
          <w:highlight w:val="none"/>
        </w:rPr>
        <w:t>。</w:t>
      </w:r>
    </w:p>
    <w:p w14:paraId="78D1F168">
      <w:pPr>
        <w:shd w:val="clear" w:color="auto"/>
        <w:tabs>
          <w:tab w:val="left" w:pos="525"/>
          <w:tab w:val="left" w:pos="1050"/>
        </w:tabs>
        <w:spacing w:line="360" w:lineRule="auto"/>
        <w:ind w:firstLine="480"/>
        <w:rPr>
          <w:rFonts w:ascii="宋体" w:hAnsi="宋体" w:cs="宋体"/>
          <w:color w:val="auto"/>
          <w:sz w:val="24"/>
          <w:szCs w:val="28"/>
          <w:highlight w:val="none"/>
        </w:rPr>
      </w:pPr>
      <w:r>
        <w:rPr>
          <w:rFonts w:hint="eastAsia" w:ascii="宋体" w:hAnsi="宋体" w:cs="宋体"/>
          <w:color w:val="auto"/>
          <w:sz w:val="24"/>
          <w:szCs w:val="28"/>
          <w:highlight w:val="none"/>
        </w:rPr>
        <w:t>6.</w:t>
      </w:r>
      <w:r>
        <w:rPr>
          <w:rFonts w:hint="eastAsia" w:ascii="宋体" w:hAnsi="宋体" w:cs="宋体"/>
          <w:bCs/>
          <w:color w:val="auto"/>
          <w:sz w:val="24"/>
          <w:highlight w:val="none"/>
        </w:rPr>
        <w:t>投标供应商应由其法定代表人或法定代表人授权代表在规定的网上投标时间内，凭CA数字证书登陆江苏省政府采购（苏采云）平台获取采购文件，在苏采云报价客户端制作投标文件（电子数据），并在投标截止时间之前上传投标文件，逾期提交的投标文件，“苏采云”系统将自动拒收。</w:t>
      </w:r>
    </w:p>
    <w:p w14:paraId="49E1E516">
      <w:pPr>
        <w:shd w:val="clear" w:color="auto"/>
        <w:tabs>
          <w:tab w:val="left" w:pos="525"/>
          <w:tab w:val="left" w:pos="1050"/>
        </w:tabs>
        <w:spacing w:line="360" w:lineRule="auto"/>
        <w:ind w:firstLine="480"/>
        <w:rPr>
          <w:rFonts w:ascii="宋体" w:hAnsi="宋体" w:cs="宋体"/>
          <w:color w:val="auto"/>
          <w:sz w:val="24"/>
          <w:szCs w:val="28"/>
          <w:highlight w:val="none"/>
        </w:rPr>
      </w:pPr>
      <w:r>
        <w:rPr>
          <w:rFonts w:hint="eastAsia" w:ascii="宋体" w:hAnsi="宋体" w:cs="宋体"/>
          <w:color w:val="auto"/>
          <w:sz w:val="24"/>
          <w:szCs w:val="28"/>
          <w:highlight w:val="none"/>
        </w:rPr>
        <w:t>7.</w:t>
      </w:r>
      <w:r>
        <w:rPr>
          <w:rFonts w:hint="eastAsia" w:ascii="宋体" w:hAnsi="宋体" w:cs="宋体"/>
          <w:bCs/>
          <w:color w:val="auto"/>
          <w:sz w:val="24"/>
          <w:highlight w:val="none"/>
        </w:rPr>
        <w:t>投标供应商</w:t>
      </w:r>
      <w:r>
        <w:rPr>
          <w:rFonts w:hint="eastAsia" w:ascii="宋体" w:hAnsi="宋体" w:cs="宋体"/>
          <w:color w:val="auto"/>
          <w:sz w:val="24"/>
          <w:highlight w:val="none"/>
        </w:rPr>
        <w:t>应对CA数字证书妥善保管，如被他人盗用投标，后果自负。</w:t>
      </w:r>
    </w:p>
    <w:p w14:paraId="2A4A0C0A">
      <w:pPr>
        <w:shd w:val="clear" w:color="auto"/>
        <w:tabs>
          <w:tab w:val="left" w:pos="525"/>
          <w:tab w:val="left" w:pos="1050"/>
        </w:tabs>
        <w:spacing w:line="360" w:lineRule="auto"/>
        <w:ind w:firstLine="480"/>
        <w:rPr>
          <w:rFonts w:ascii="宋体" w:hAnsi="宋体" w:cs="宋体"/>
          <w:color w:val="auto"/>
          <w:sz w:val="24"/>
          <w:szCs w:val="28"/>
          <w:highlight w:val="none"/>
        </w:rPr>
      </w:pPr>
      <w:r>
        <w:rPr>
          <w:rFonts w:hint="eastAsia" w:ascii="宋体" w:hAnsi="宋体" w:cs="宋体"/>
          <w:color w:val="auto"/>
          <w:sz w:val="24"/>
          <w:szCs w:val="28"/>
          <w:highlight w:val="none"/>
        </w:rPr>
        <w:t>8.</w:t>
      </w:r>
      <w:r>
        <w:rPr>
          <w:rFonts w:hint="eastAsia" w:ascii="宋体" w:hAnsi="宋体" w:cs="宋体"/>
          <w:bCs/>
          <w:color w:val="auto"/>
          <w:sz w:val="24"/>
          <w:highlight w:val="none"/>
        </w:rPr>
        <w:t>投标</w:t>
      </w:r>
      <w:r>
        <w:rPr>
          <w:rFonts w:hint="eastAsia" w:ascii="宋体" w:hAnsi="宋体" w:cs="宋体"/>
          <w:color w:val="auto"/>
          <w:sz w:val="24"/>
          <w:highlight w:val="none"/>
        </w:rPr>
        <w:t>供应商按采购文件规定的网上解密时间进行解密，如未按时解密后果自负</w:t>
      </w:r>
      <w:r>
        <w:rPr>
          <w:rFonts w:hint="eastAsia" w:ascii="宋体" w:hAnsi="宋体" w:cs="宋体"/>
          <w:color w:val="auto"/>
          <w:sz w:val="24"/>
          <w:szCs w:val="28"/>
          <w:highlight w:val="none"/>
        </w:rPr>
        <w:t>。</w:t>
      </w:r>
    </w:p>
    <w:p w14:paraId="4D2D7FE3">
      <w:pPr>
        <w:shd w:val="clear" w:color="auto"/>
        <w:tabs>
          <w:tab w:val="left" w:pos="525"/>
          <w:tab w:val="left" w:pos="1050"/>
        </w:tabs>
        <w:spacing w:line="360" w:lineRule="auto"/>
        <w:ind w:firstLine="480"/>
        <w:rPr>
          <w:rFonts w:ascii="宋体" w:hAnsi="宋体" w:cs="宋体"/>
          <w:color w:val="auto"/>
          <w:sz w:val="24"/>
          <w:szCs w:val="28"/>
          <w:highlight w:val="none"/>
        </w:rPr>
      </w:pPr>
      <w:r>
        <w:rPr>
          <w:rFonts w:hint="eastAsia" w:ascii="宋体" w:hAnsi="宋体" w:cs="宋体"/>
          <w:color w:val="auto"/>
          <w:sz w:val="24"/>
          <w:szCs w:val="28"/>
          <w:highlight w:val="none"/>
        </w:rPr>
        <w:t>9.</w:t>
      </w:r>
      <w:r>
        <w:rPr>
          <w:rFonts w:hint="eastAsia" w:ascii="宋体" w:hAnsi="宋体" w:cs="宋体"/>
          <w:bCs/>
          <w:color w:val="auto"/>
          <w:sz w:val="24"/>
          <w:highlight w:val="none"/>
        </w:rPr>
        <w:t>投标供应商</w:t>
      </w:r>
      <w:r>
        <w:rPr>
          <w:rFonts w:hint="eastAsia" w:ascii="宋体" w:hAnsi="宋体" w:cs="宋体"/>
          <w:color w:val="auto"/>
          <w:sz w:val="24"/>
          <w:highlight w:val="none"/>
        </w:rPr>
        <w:t>应当对</w:t>
      </w:r>
      <w:r>
        <w:rPr>
          <w:rFonts w:hint="eastAsia" w:ascii="宋体" w:hAnsi="宋体" w:cs="宋体"/>
          <w:bCs/>
          <w:color w:val="auto"/>
          <w:sz w:val="24"/>
          <w:highlight w:val="none"/>
        </w:rPr>
        <w:t>采购</w:t>
      </w:r>
      <w:r>
        <w:rPr>
          <w:rFonts w:hint="eastAsia" w:ascii="宋体" w:hAnsi="宋体" w:cs="宋体"/>
          <w:color w:val="auto"/>
          <w:sz w:val="24"/>
          <w:highlight w:val="none"/>
        </w:rPr>
        <w:t>文件提出的要求和条件作出实质性响应，并在电子投标系统逐条应答</w:t>
      </w:r>
      <w:r>
        <w:rPr>
          <w:rFonts w:hint="eastAsia" w:ascii="宋体" w:hAnsi="宋体" w:cs="宋体"/>
          <w:color w:val="auto"/>
          <w:sz w:val="24"/>
          <w:szCs w:val="28"/>
          <w:highlight w:val="none"/>
        </w:rPr>
        <w:t>。</w:t>
      </w:r>
    </w:p>
    <w:p w14:paraId="07ACEFCF">
      <w:pPr>
        <w:shd w:val="clear" w:color="auto"/>
        <w:tabs>
          <w:tab w:val="left" w:pos="525"/>
          <w:tab w:val="left" w:pos="1050"/>
        </w:tabs>
        <w:spacing w:line="360" w:lineRule="auto"/>
        <w:ind w:firstLine="480"/>
        <w:rPr>
          <w:rFonts w:ascii="宋体" w:hAnsi="宋体" w:cs="宋体"/>
          <w:b/>
          <w:bCs/>
          <w:color w:val="auto"/>
          <w:sz w:val="24"/>
          <w:szCs w:val="28"/>
          <w:highlight w:val="none"/>
        </w:rPr>
      </w:pPr>
      <w:r>
        <w:rPr>
          <w:rFonts w:hint="eastAsia" w:ascii="宋体" w:hAnsi="宋体" w:cs="宋体"/>
          <w:color w:val="auto"/>
          <w:sz w:val="24"/>
          <w:szCs w:val="28"/>
          <w:highlight w:val="none"/>
        </w:rPr>
        <w:t>10.</w:t>
      </w:r>
      <w:r>
        <w:rPr>
          <w:rFonts w:hint="eastAsia" w:ascii="宋体" w:hAnsi="宋体" w:cs="宋体"/>
          <w:bCs/>
          <w:color w:val="auto"/>
          <w:sz w:val="24"/>
          <w:highlight w:val="none"/>
        </w:rPr>
        <w:t>投标供应商</w:t>
      </w:r>
      <w:r>
        <w:rPr>
          <w:rFonts w:hint="eastAsia" w:ascii="宋体" w:hAnsi="宋体" w:cs="宋体"/>
          <w:color w:val="auto"/>
          <w:sz w:val="24"/>
          <w:highlight w:val="none"/>
        </w:rPr>
        <w:t>应对要求提供的资格证明文件（如资质证书、资格证书）、技术资料（如白皮书、彩页、手册、检测报告等）扫描上传至投标系统</w:t>
      </w:r>
      <w:r>
        <w:rPr>
          <w:rFonts w:hint="eastAsia" w:ascii="宋体" w:hAnsi="宋体" w:cs="宋体"/>
          <w:b/>
          <w:bCs/>
          <w:color w:val="auto"/>
          <w:sz w:val="24"/>
          <w:szCs w:val="28"/>
          <w:highlight w:val="none"/>
        </w:rPr>
        <w:t>。</w:t>
      </w:r>
    </w:p>
    <w:p w14:paraId="708D85E1">
      <w:pPr>
        <w:shd w:val="clear" w:color="auto"/>
        <w:tabs>
          <w:tab w:val="left" w:pos="525"/>
          <w:tab w:val="left" w:pos="1050"/>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11.</w:t>
      </w:r>
      <w:r>
        <w:rPr>
          <w:rFonts w:hint="eastAsia" w:ascii="宋体" w:hAnsi="宋体" w:cs="宋体"/>
          <w:bCs/>
          <w:color w:val="auto"/>
          <w:sz w:val="24"/>
          <w:highlight w:val="none"/>
        </w:rPr>
        <w:t>投标供应商进行网上投标请参照《“苏采云”系统供应商操作手册》。</w:t>
      </w:r>
    </w:p>
    <w:p w14:paraId="5DD338B7">
      <w:pPr>
        <w:spacing w:line="360" w:lineRule="auto"/>
        <w:ind w:firstLine="482"/>
        <w:rPr>
          <w:rFonts w:ascii="宋体" w:hAnsi="宋体"/>
          <w:b/>
          <w:color w:val="auto"/>
          <w:sz w:val="24"/>
          <w:highlight w:val="none"/>
          <w:u w:val="none"/>
        </w:rPr>
      </w:pPr>
      <w:r>
        <w:rPr>
          <w:rFonts w:hint="eastAsia" w:ascii="宋体" w:hAnsi="宋体" w:cs="宋体"/>
          <w:color w:val="auto"/>
          <w:sz w:val="24"/>
          <w:highlight w:val="none"/>
        </w:rPr>
        <w:t>12.</w:t>
      </w:r>
      <w:r>
        <w:rPr>
          <w:rFonts w:hint="eastAsia" w:ascii="宋体" w:hAnsi="宋体" w:cs="宋体"/>
          <w:b/>
          <w:bCs/>
          <w:color w:val="auto"/>
          <w:sz w:val="24"/>
          <w:highlight w:val="none"/>
        </w:rPr>
        <w:t>技术标为暗标，</w:t>
      </w:r>
      <w:r>
        <w:rPr>
          <w:rFonts w:hint="eastAsia" w:ascii="宋体" w:hAnsi="宋体" w:cs="宋体"/>
          <w:b/>
          <w:color w:val="auto"/>
          <w:sz w:val="24"/>
          <w:szCs w:val="24"/>
          <w:highlight w:val="none"/>
          <w:lang w:eastAsia="zh-CN"/>
        </w:rPr>
        <w:t>供应商在制作</w:t>
      </w:r>
      <w:r>
        <w:rPr>
          <w:rFonts w:hint="eastAsia" w:ascii="宋体" w:hAnsi="宋体" w:cs="宋体"/>
          <w:b/>
          <w:color w:val="auto"/>
          <w:sz w:val="24"/>
          <w:szCs w:val="24"/>
          <w:highlight w:val="none"/>
        </w:rPr>
        <w:t>技术标部分</w:t>
      </w:r>
      <w:r>
        <w:rPr>
          <w:rFonts w:hint="eastAsia" w:ascii="宋体" w:hAnsi="宋体" w:cs="宋体"/>
          <w:b/>
          <w:color w:val="auto"/>
          <w:sz w:val="24"/>
          <w:szCs w:val="24"/>
          <w:highlight w:val="none"/>
          <w:lang w:eastAsia="zh-CN"/>
        </w:rPr>
        <w:t>相关内容时不得有体现供应商身份的内容，否则投标无效。</w:t>
      </w:r>
      <w:r>
        <w:rPr>
          <w:rFonts w:hint="eastAsia" w:ascii="宋体" w:hAnsi="宋体"/>
          <w:b/>
          <w:color w:val="auto"/>
          <w:sz w:val="24"/>
          <w:highlight w:val="none"/>
          <w:u w:val="none"/>
        </w:rPr>
        <w:t>不得有体现</w:t>
      </w:r>
      <w:r>
        <w:rPr>
          <w:rFonts w:hint="eastAsia" w:ascii="宋体" w:hAnsi="宋体"/>
          <w:b/>
          <w:color w:val="auto"/>
          <w:sz w:val="24"/>
          <w:highlight w:val="none"/>
          <w:u w:val="none"/>
          <w:lang w:eastAsia="zh-CN"/>
        </w:rPr>
        <w:t>供应商</w:t>
      </w:r>
      <w:r>
        <w:rPr>
          <w:rFonts w:hint="eastAsia" w:ascii="宋体" w:hAnsi="宋体"/>
          <w:b/>
          <w:color w:val="auto"/>
          <w:sz w:val="24"/>
          <w:highlight w:val="none"/>
          <w:u w:val="none"/>
        </w:rPr>
        <w:t>身份的内容是指：</w:t>
      </w:r>
    </w:p>
    <w:p w14:paraId="547F3674">
      <w:pPr>
        <w:tabs>
          <w:tab w:val="left" w:pos="525"/>
          <w:tab w:val="left" w:pos="1050"/>
        </w:tabs>
        <w:spacing w:line="360" w:lineRule="auto"/>
        <w:ind w:firstLine="482"/>
        <w:rPr>
          <w:rFonts w:hint="eastAsia"/>
          <w:b/>
          <w:bCs/>
          <w:color w:val="auto"/>
          <w:sz w:val="24"/>
          <w:szCs w:val="24"/>
          <w:highlight w:val="none"/>
        </w:rPr>
      </w:pPr>
      <w:r>
        <w:rPr>
          <w:rFonts w:hint="eastAsia"/>
          <w:b/>
          <w:bCs/>
          <w:color w:val="auto"/>
          <w:sz w:val="24"/>
          <w:szCs w:val="24"/>
          <w:highlight w:val="none"/>
        </w:rPr>
        <w:t>①技术部分不得出现能够体现</w:t>
      </w:r>
      <w:r>
        <w:rPr>
          <w:rFonts w:hint="eastAsia"/>
          <w:b/>
          <w:bCs/>
          <w:color w:val="auto"/>
          <w:sz w:val="24"/>
          <w:szCs w:val="24"/>
          <w:highlight w:val="none"/>
          <w:lang w:eastAsia="zh-CN"/>
        </w:rPr>
        <w:t>供应商</w:t>
      </w:r>
      <w:r>
        <w:rPr>
          <w:rFonts w:hint="eastAsia"/>
          <w:b/>
          <w:bCs/>
          <w:color w:val="auto"/>
          <w:sz w:val="24"/>
          <w:szCs w:val="24"/>
          <w:highlight w:val="none"/>
        </w:rPr>
        <w:t>身份、名称的相关描述、材料、文件等内容；</w:t>
      </w:r>
    </w:p>
    <w:p w14:paraId="63B12D42">
      <w:pPr>
        <w:tabs>
          <w:tab w:val="left" w:pos="525"/>
          <w:tab w:val="left" w:pos="1050"/>
        </w:tabs>
        <w:spacing w:line="360" w:lineRule="auto"/>
        <w:ind w:firstLine="482"/>
        <w:rPr>
          <w:rFonts w:hint="eastAsia"/>
          <w:b/>
          <w:bCs/>
          <w:color w:val="auto"/>
          <w:sz w:val="24"/>
          <w:szCs w:val="24"/>
          <w:highlight w:val="none"/>
        </w:rPr>
      </w:pPr>
      <w:r>
        <w:rPr>
          <w:rFonts w:hint="eastAsia"/>
          <w:b/>
          <w:bCs/>
          <w:color w:val="auto"/>
          <w:sz w:val="24"/>
          <w:szCs w:val="24"/>
          <w:highlight w:val="none"/>
        </w:rPr>
        <w:t>②技术部分不得更改，不得在其中涂改、标注或做任何可以辨认</w:t>
      </w:r>
      <w:r>
        <w:rPr>
          <w:rFonts w:hint="eastAsia"/>
          <w:b/>
          <w:bCs/>
          <w:color w:val="auto"/>
          <w:sz w:val="24"/>
          <w:szCs w:val="24"/>
          <w:highlight w:val="none"/>
          <w:lang w:eastAsia="zh-CN"/>
        </w:rPr>
        <w:t>供应商</w:t>
      </w:r>
      <w:r>
        <w:rPr>
          <w:rFonts w:hint="eastAsia"/>
          <w:b/>
          <w:bCs/>
          <w:color w:val="auto"/>
          <w:sz w:val="24"/>
          <w:szCs w:val="24"/>
          <w:highlight w:val="none"/>
        </w:rPr>
        <w:t>及所属人员身份的名称、印章、商标等标记；</w:t>
      </w:r>
    </w:p>
    <w:p w14:paraId="36C77910">
      <w:pPr>
        <w:tabs>
          <w:tab w:val="left" w:pos="525"/>
          <w:tab w:val="left" w:pos="1050"/>
        </w:tabs>
        <w:spacing w:line="360" w:lineRule="auto"/>
        <w:ind w:firstLine="482"/>
        <w:rPr>
          <w:rFonts w:hint="eastAsia"/>
          <w:b/>
          <w:bCs/>
          <w:color w:val="auto"/>
          <w:sz w:val="24"/>
          <w:szCs w:val="24"/>
          <w:highlight w:val="none"/>
        </w:rPr>
      </w:pPr>
      <w:r>
        <w:rPr>
          <w:rFonts w:hint="eastAsia"/>
          <w:b/>
          <w:bCs/>
          <w:color w:val="auto"/>
          <w:sz w:val="24"/>
          <w:szCs w:val="24"/>
          <w:highlight w:val="none"/>
        </w:rPr>
        <w:t>③技术部分应当版面整洁、字迹清楚、不许批注或进行底纹、阴影、水印等特殊设置，不得采用任何不符合常规、有别于其他</w:t>
      </w:r>
      <w:r>
        <w:rPr>
          <w:rFonts w:hint="eastAsia"/>
          <w:b/>
          <w:bCs/>
          <w:color w:val="auto"/>
          <w:sz w:val="24"/>
          <w:szCs w:val="24"/>
          <w:highlight w:val="none"/>
          <w:lang w:eastAsia="zh-CN"/>
        </w:rPr>
        <w:t>供应商</w:t>
      </w:r>
      <w:r>
        <w:rPr>
          <w:rFonts w:hint="eastAsia"/>
          <w:b/>
          <w:bCs/>
          <w:color w:val="auto"/>
          <w:sz w:val="24"/>
          <w:szCs w:val="24"/>
          <w:highlight w:val="none"/>
        </w:rPr>
        <w:t>的特殊做法；</w:t>
      </w:r>
    </w:p>
    <w:p w14:paraId="6CE4C4F3">
      <w:pPr>
        <w:shd w:val="clear" w:color="auto"/>
        <w:tabs>
          <w:tab w:val="left" w:pos="1050"/>
          <w:tab w:val="left" w:pos="1200"/>
          <w:tab w:val="left" w:pos="1365"/>
        </w:tabs>
        <w:spacing w:line="360" w:lineRule="auto"/>
        <w:ind w:firstLine="480"/>
        <w:jc w:val="left"/>
        <w:rPr>
          <w:rFonts w:ascii="宋体" w:hAnsi="宋体" w:cs="宋体"/>
          <w:color w:val="auto"/>
          <w:sz w:val="24"/>
          <w:highlight w:val="none"/>
        </w:rPr>
      </w:pPr>
      <w:r>
        <w:rPr>
          <w:rFonts w:hint="eastAsia"/>
          <w:b/>
          <w:bCs/>
          <w:color w:val="auto"/>
          <w:sz w:val="24"/>
          <w:szCs w:val="24"/>
          <w:highlight w:val="none"/>
        </w:rPr>
        <w:t>④不得有其他体现</w:t>
      </w:r>
      <w:r>
        <w:rPr>
          <w:rFonts w:hint="eastAsia"/>
          <w:b/>
          <w:bCs/>
          <w:color w:val="auto"/>
          <w:sz w:val="24"/>
          <w:szCs w:val="24"/>
          <w:highlight w:val="none"/>
          <w:lang w:eastAsia="zh-CN"/>
        </w:rPr>
        <w:t>供应商</w:t>
      </w:r>
      <w:r>
        <w:rPr>
          <w:rFonts w:hint="eastAsia"/>
          <w:b/>
          <w:bCs/>
          <w:color w:val="auto"/>
          <w:sz w:val="24"/>
          <w:szCs w:val="24"/>
          <w:highlight w:val="none"/>
        </w:rPr>
        <w:t>身份的内容。</w:t>
      </w:r>
    </w:p>
    <w:p w14:paraId="6E9EE585">
      <w:pPr>
        <w:shd w:val="clear" w:color="auto"/>
        <w:tabs>
          <w:tab w:val="left" w:pos="1050"/>
          <w:tab w:val="left" w:pos="1200"/>
          <w:tab w:val="left" w:pos="1365"/>
        </w:tabs>
        <w:spacing w:line="360" w:lineRule="auto"/>
        <w:ind w:firstLine="480"/>
        <w:jc w:val="left"/>
        <w:rPr>
          <w:rFonts w:ascii="宋体" w:hAnsi="宋体" w:cs="宋体"/>
          <w:bCs/>
          <w:color w:val="auto"/>
          <w:sz w:val="24"/>
          <w:highlight w:val="none"/>
        </w:rPr>
      </w:pPr>
      <w:r>
        <w:rPr>
          <w:rFonts w:hint="eastAsia" w:ascii="宋体" w:hAnsi="宋体" w:cs="宋体"/>
          <w:color w:val="auto"/>
          <w:sz w:val="24"/>
          <w:highlight w:val="none"/>
        </w:rPr>
        <w:t>13.投标费用自理。</w:t>
      </w:r>
    </w:p>
    <w:p w14:paraId="3A2264C3">
      <w:pPr>
        <w:shd w:val="clear" w:color="auto"/>
        <w:spacing w:line="360" w:lineRule="auto"/>
        <w:ind w:left="-2" w:firstLine="420"/>
        <w:rPr>
          <w:rFonts w:ascii="宋体" w:hAnsi="宋体" w:cs="宋体"/>
          <w:b/>
          <w:color w:val="auto"/>
          <w:sz w:val="24"/>
          <w:highlight w:val="none"/>
        </w:rPr>
      </w:pPr>
      <w:r>
        <w:rPr>
          <w:rFonts w:hint="eastAsia" w:ascii="宋体" w:hAnsi="宋体" w:cs="宋体"/>
          <w:b/>
          <w:color w:val="auto"/>
          <w:sz w:val="24"/>
          <w:highlight w:val="none"/>
        </w:rPr>
        <w:t xml:space="preserve">（七）投标报价说明： </w:t>
      </w:r>
    </w:p>
    <w:p w14:paraId="57B242FF">
      <w:pPr>
        <w:shd w:val="clear" w:color="auto"/>
        <w:tabs>
          <w:tab w:val="left" w:pos="525"/>
          <w:tab w:val="left" w:pos="1050"/>
        </w:tabs>
        <w:spacing w:line="360" w:lineRule="auto"/>
        <w:ind w:firstLine="480"/>
        <w:rPr>
          <w:rFonts w:ascii="宋体" w:hAnsi="宋体" w:cs="宋体"/>
          <w:color w:val="auto"/>
          <w:sz w:val="24"/>
          <w:szCs w:val="28"/>
          <w:highlight w:val="none"/>
        </w:rPr>
      </w:pPr>
      <w:r>
        <w:rPr>
          <w:rFonts w:hint="eastAsia" w:ascii="宋体" w:hAnsi="宋体" w:cs="宋体"/>
          <w:color w:val="auto"/>
          <w:sz w:val="24"/>
          <w:szCs w:val="28"/>
          <w:highlight w:val="none"/>
        </w:rPr>
        <w:t>1.</w:t>
      </w:r>
      <w:r>
        <w:rPr>
          <w:rFonts w:hint="eastAsia" w:ascii="宋体" w:hAnsi="宋体" w:cs="宋体"/>
          <w:bCs/>
          <w:color w:val="auto"/>
          <w:sz w:val="24"/>
          <w:highlight w:val="none"/>
        </w:rPr>
        <w:t>投标</w:t>
      </w:r>
      <w:r>
        <w:rPr>
          <w:rFonts w:hint="eastAsia" w:ascii="宋体" w:hAnsi="宋体" w:cs="宋体"/>
          <w:color w:val="auto"/>
          <w:sz w:val="24"/>
          <w:szCs w:val="28"/>
          <w:highlight w:val="none"/>
        </w:rPr>
        <w:t>供应商应当充分考虑服务期内所有可能影响到的因素，一旦投标结束最终成交，总价及对应单价将包定，价格不予调整（国家政策性调整除外）。如发生漏、缺、少项，都将被认为是中标方的报价让利行为，损失自负。</w:t>
      </w:r>
    </w:p>
    <w:p w14:paraId="63191D0F">
      <w:pPr>
        <w:shd w:val="clear" w:color="auto"/>
        <w:spacing w:line="360" w:lineRule="auto"/>
        <w:ind w:firstLine="532"/>
        <w:rPr>
          <w:rFonts w:ascii="宋体" w:hAnsi="宋体" w:cs="宋体"/>
          <w:color w:val="auto"/>
          <w:sz w:val="24"/>
          <w:highlight w:val="none"/>
        </w:rPr>
      </w:pPr>
      <w:r>
        <w:rPr>
          <w:rFonts w:hint="eastAsia" w:ascii="宋体" w:hAnsi="宋体" w:cs="宋体"/>
          <w:color w:val="auto"/>
          <w:sz w:val="24"/>
          <w:highlight w:val="none"/>
        </w:rPr>
        <w:t>2.根据《财库[2026]2号》要求，明确评审委员会启动异常低价投标（响应）审查的情形和具体要求，包括：</w:t>
      </w:r>
    </w:p>
    <w:p w14:paraId="7928AA64">
      <w:pPr>
        <w:shd w:val="clear" w:color="auto"/>
        <w:spacing w:line="360" w:lineRule="auto"/>
        <w:ind w:firstLine="532"/>
        <w:rPr>
          <w:rFonts w:ascii="宋体" w:hAnsi="宋体" w:cs="宋体"/>
          <w:color w:val="auto"/>
          <w:sz w:val="24"/>
          <w:highlight w:val="none"/>
        </w:rPr>
      </w:pPr>
      <w:r>
        <w:rPr>
          <w:rFonts w:hint="eastAsia" w:ascii="宋体" w:hAnsi="宋体" w:cs="宋体"/>
          <w:color w:val="auto"/>
          <w:sz w:val="24"/>
          <w:highlight w:val="none"/>
        </w:rPr>
        <w:t>2.1、评审过程中出现下列情形之一的，评审委员会应当启动异常低价投标（响应）审查程序：</w:t>
      </w:r>
    </w:p>
    <w:p w14:paraId="729C8605">
      <w:pPr>
        <w:shd w:val="clear" w:color="auto"/>
        <w:spacing w:line="360" w:lineRule="auto"/>
        <w:ind w:firstLine="532"/>
        <w:rPr>
          <w:color w:val="auto"/>
          <w:highlight w:val="none"/>
        </w:rPr>
      </w:pPr>
      <w:r>
        <w:rPr>
          <w:rFonts w:hint="eastAsia" w:ascii="宋体" w:hAnsi="宋体" w:cs="宋体"/>
          <w:color w:val="auto"/>
          <w:sz w:val="24"/>
          <w:highlight w:val="none"/>
        </w:rPr>
        <w:t>2.1.1投标(响应)报价低于全部通过符合性审查供应商投标(响应)报价平均值50%的，即投标(响应)报价&lt;全部通过符合性审查供应商投标(响应)报价平均值X50%;</w:t>
      </w:r>
    </w:p>
    <w:p w14:paraId="554DA651">
      <w:pPr>
        <w:shd w:val="clear" w:color="auto"/>
        <w:spacing w:line="360" w:lineRule="auto"/>
        <w:ind w:firstLine="532"/>
        <w:rPr>
          <w:color w:val="auto"/>
          <w:highlight w:val="none"/>
        </w:rPr>
      </w:pPr>
      <w:r>
        <w:rPr>
          <w:rFonts w:hint="eastAsia" w:ascii="宋体" w:hAnsi="宋体" w:cs="宋体"/>
          <w:color w:val="auto"/>
          <w:sz w:val="24"/>
          <w:highlight w:val="none"/>
        </w:rPr>
        <w:t>2.1.2投标(响应)报价低于通过符合性审查的次低报价供应商投标(响应)报价50%的，即投标(响应)报价&lt;通过符合性审查的次低报价供应商投标(响应)报价X50%;</w:t>
      </w:r>
    </w:p>
    <w:p w14:paraId="48803EBB">
      <w:pPr>
        <w:shd w:val="clear" w:color="auto"/>
        <w:spacing w:line="360" w:lineRule="auto"/>
        <w:ind w:firstLine="532"/>
        <w:rPr>
          <w:color w:val="auto"/>
          <w:highlight w:val="none"/>
        </w:rPr>
      </w:pPr>
      <w:r>
        <w:rPr>
          <w:rFonts w:hint="eastAsia" w:ascii="宋体" w:hAnsi="宋体" w:cs="宋体"/>
          <w:color w:val="auto"/>
          <w:sz w:val="24"/>
          <w:highlight w:val="none"/>
        </w:rPr>
        <w:t>2.1.3投标(响应)报价低于采购项目最高限价45%的，即投标(响应)报价&lt;采购项目最高限价X45%;</w:t>
      </w:r>
    </w:p>
    <w:p w14:paraId="75DC79FA">
      <w:pPr>
        <w:shd w:val="clear" w:color="auto"/>
        <w:spacing w:line="360" w:lineRule="auto"/>
        <w:ind w:firstLine="532"/>
        <w:rPr>
          <w:color w:val="auto"/>
          <w:highlight w:val="none"/>
        </w:rPr>
      </w:pPr>
      <w:r>
        <w:rPr>
          <w:rFonts w:hint="eastAsia" w:ascii="宋体" w:hAnsi="宋体" w:cs="宋体"/>
          <w:color w:val="auto"/>
          <w:sz w:val="24"/>
          <w:highlight w:val="none"/>
        </w:rPr>
        <w:t>2.1.4评审委员会基于专业判断，认为供应商报价过低，有可能影响产品质量或者不能诚信履约的其他情形。</w:t>
      </w:r>
    </w:p>
    <w:p w14:paraId="69E39960">
      <w:pPr>
        <w:shd w:val="clear" w:color="auto"/>
        <w:spacing w:line="360" w:lineRule="auto"/>
        <w:ind w:firstLine="532"/>
        <w:rPr>
          <w:rFonts w:ascii="宋体" w:hAnsi="宋体" w:cs="宋体"/>
          <w:color w:val="auto"/>
          <w:sz w:val="24"/>
          <w:highlight w:val="none"/>
        </w:rPr>
      </w:pPr>
      <w:r>
        <w:rPr>
          <w:rFonts w:hint="eastAsia" w:ascii="宋体" w:hAnsi="宋体" w:cs="宋体"/>
          <w:color w:val="auto"/>
          <w:sz w:val="24"/>
          <w:highlight w:val="none"/>
        </w:rPr>
        <w:t>采购人可以结合具体项目实际情况，提高上述第1项至第3项中启动异常低价投标(响应)审查的数值标准，但是最高不得超过65%</w:t>
      </w:r>
    </w:p>
    <w:p w14:paraId="28848D46">
      <w:pPr>
        <w:shd w:val="clear" w:color="auto"/>
        <w:spacing w:line="360" w:lineRule="auto"/>
        <w:ind w:firstLine="532"/>
        <w:rPr>
          <w:color w:val="auto"/>
          <w:highlight w:val="none"/>
        </w:rPr>
      </w:pPr>
      <w:r>
        <w:rPr>
          <w:rFonts w:hint="eastAsia" w:ascii="宋体" w:hAnsi="宋体" w:cs="宋体"/>
          <w:color w:val="auto"/>
          <w:sz w:val="24"/>
          <w:highlight w:val="none"/>
        </w:rPr>
        <w:t>相关法律法规对供应商报价有规定的，从其规定。</w:t>
      </w:r>
    </w:p>
    <w:p w14:paraId="2672E696">
      <w:pPr>
        <w:shd w:val="clear" w:color="auto"/>
        <w:spacing w:line="360" w:lineRule="auto"/>
        <w:ind w:firstLine="532"/>
        <w:rPr>
          <w:rFonts w:ascii="宋体" w:hAnsi="宋体" w:cs="宋体"/>
          <w:color w:val="auto"/>
          <w:sz w:val="24"/>
          <w:highlight w:val="none"/>
        </w:rPr>
      </w:pPr>
      <w:r>
        <w:rPr>
          <w:rFonts w:hint="eastAsia" w:ascii="宋体" w:hAnsi="宋体" w:cs="宋体"/>
          <w:color w:val="auto"/>
          <w:sz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42FC049">
      <w:pPr>
        <w:shd w:val="clear" w:color="auto"/>
        <w:spacing w:line="360" w:lineRule="auto"/>
        <w:ind w:left="-2" w:firstLine="420"/>
        <w:rPr>
          <w:rFonts w:ascii="宋体" w:hAnsi="宋体" w:cs="宋体"/>
          <w:b/>
          <w:color w:val="auto"/>
          <w:sz w:val="24"/>
          <w:highlight w:val="none"/>
        </w:rPr>
      </w:pPr>
      <w:r>
        <w:rPr>
          <w:rFonts w:hint="eastAsia" w:ascii="宋体" w:hAnsi="宋体" w:cs="宋体"/>
          <w:b/>
          <w:color w:val="auto"/>
          <w:sz w:val="24"/>
          <w:highlight w:val="none"/>
        </w:rPr>
        <w:t>（八）无效投标文件的确认：</w:t>
      </w:r>
    </w:p>
    <w:p w14:paraId="24297174">
      <w:pPr>
        <w:shd w:val="clear" w:color="auto"/>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投标供应商有下列情况之一者，其投标文件无效：</w:t>
      </w:r>
    </w:p>
    <w:p w14:paraId="0CB0F9B3">
      <w:pPr>
        <w:shd w:val="clear" w:color="auto"/>
        <w:tabs>
          <w:tab w:val="left" w:pos="525"/>
          <w:tab w:val="left" w:pos="1050"/>
          <w:tab w:val="left" w:pos="1146"/>
          <w:tab w:val="left" w:pos="1254"/>
          <w:tab w:val="left" w:pos="177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1．电子投标文件未按规定时间上传的，纸质投标文件（如有）未按规定的期限、地点送达的；</w:t>
      </w:r>
    </w:p>
    <w:p w14:paraId="0D809852">
      <w:pPr>
        <w:shd w:val="clear" w:color="auto"/>
        <w:tabs>
          <w:tab w:val="left" w:pos="525"/>
          <w:tab w:val="left" w:pos="1050"/>
          <w:tab w:val="left" w:pos="1146"/>
          <w:tab w:val="left" w:pos="1254"/>
          <w:tab w:val="left" w:pos="177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3．电子投标文件未按采购文件要求签章的；</w:t>
      </w:r>
    </w:p>
    <w:p w14:paraId="4C10304C">
      <w:pPr>
        <w:shd w:val="clear" w:color="auto"/>
        <w:tabs>
          <w:tab w:val="left" w:pos="525"/>
          <w:tab w:val="left" w:pos="1050"/>
          <w:tab w:val="left" w:pos="1146"/>
          <w:tab w:val="left" w:pos="1254"/>
          <w:tab w:val="left" w:pos="177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4．</w:t>
      </w:r>
      <w:r>
        <w:rPr>
          <w:rFonts w:hint="eastAsia" w:ascii="宋体" w:hAnsi="宋体" w:cs="宋体"/>
          <w:bCs/>
          <w:color w:val="auto"/>
          <w:sz w:val="24"/>
          <w:highlight w:val="none"/>
          <w:lang w:eastAsia="zh-CN"/>
        </w:rPr>
        <w:t>供应商</w:t>
      </w:r>
      <w:r>
        <w:rPr>
          <w:rFonts w:hint="eastAsia" w:ascii="宋体" w:hAnsi="宋体" w:cs="宋体"/>
          <w:bCs/>
          <w:color w:val="auto"/>
          <w:sz w:val="24"/>
          <w:highlight w:val="none"/>
        </w:rPr>
        <w:t>未按采购文件要求解密电子投标文件的；</w:t>
      </w:r>
    </w:p>
    <w:p w14:paraId="004F3A13">
      <w:pPr>
        <w:shd w:val="clear" w:color="auto"/>
        <w:tabs>
          <w:tab w:val="left" w:pos="525"/>
          <w:tab w:val="left" w:pos="1050"/>
          <w:tab w:val="left" w:pos="1146"/>
          <w:tab w:val="left" w:pos="1254"/>
          <w:tab w:val="left" w:pos="177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5．不具备采购文件中规定的资格要求的；</w:t>
      </w:r>
    </w:p>
    <w:p w14:paraId="10A989C4">
      <w:pPr>
        <w:shd w:val="clear" w:color="auto"/>
        <w:tabs>
          <w:tab w:val="left" w:pos="525"/>
          <w:tab w:val="left" w:pos="1050"/>
          <w:tab w:val="left" w:pos="1146"/>
          <w:tab w:val="left" w:pos="1254"/>
          <w:tab w:val="left" w:pos="177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6．报价超过采购文件中规定的预算金额或最高限价的；</w:t>
      </w:r>
    </w:p>
    <w:p w14:paraId="494C6D1B">
      <w:pPr>
        <w:shd w:val="clear" w:color="auto"/>
        <w:tabs>
          <w:tab w:val="left" w:pos="525"/>
          <w:tab w:val="left" w:pos="1050"/>
          <w:tab w:val="left" w:pos="1146"/>
          <w:tab w:val="left" w:pos="1254"/>
          <w:tab w:val="left" w:pos="177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7．投标供应商的法定代表人授权代表无法定代表人授权委托书的；</w:t>
      </w:r>
    </w:p>
    <w:p w14:paraId="2F07BC04">
      <w:pPr>
        <w:shd w:val="clear" w:color="auto"/>
        <w:tabs>
          <w:tab w:val="left" w:pos="525"/>
          <w:tab w:val="left" w:pos="1050"/>
          <w:tab w:val="left" w:pos="1146"/>
          <w:tab w:val="left" w:pos="1254"/>
          <w:tab w:val="left" w:pos="177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8．投标文件含有采购人不能接受的附加条件的；</w:t>
      </w:r>
    </w:p>
    <w:p w14:paraId="7602D705">
      <w:pPr>
        <w:shd w:val="clear" w:color="auto"/>
        <w:tabs>
          <w:tab w:val="left" w:pos="525"/>
          <w:tab w:val="left" w:pos="1050"/>
          <w:tab w:val="left" w:pos="1146"/>
          <w:tab w:val="left" w:pos="1254"/>
          <w:tab w:val="left" w:pos="177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9．投标文件中有采购文件未允许提供的选择性内容的；</w:t>
      </w:r>
    </w:p>
    <w:p w14:paraId="6B1FFA13">
      <w:pPr>
        <w:shd w:val="clear" w:color="auto"/>
        <w:tabs>
          <w:tab w:val="left" w:pos="525"/>
          <w:tab w:val="left" w:pos="1050"/>
          <w:tab w:val="left" w:pos="1146"/>
          <w:tab w:val="left" w:pos="1254"/>
          <w:tab w:val="left" w:pos="177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10．恶意串通其他投标供应商，故意哄抬价格或压价的；</w:t>
      </w:r>
    </w:p>
    <w:p w14:paraId="5412EE29">
      <w:pPr>
        <w:shd w:val="clear" w:color="auto"/>
        <w:tabs>
          <w:tab w:val="left" w:pos="525"/>
          <w:tab w:val="left" w:pos="1050"/>
          <w:tab w:val="left" w:pos="1146"/>
          <w:tab w:val="left" w:pos="1254"/>
          <w:tab w:val="left" w:pos="177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11．提供虚假材料的（包括工商营业执照、财务报表、资格证明文件等）；</w:t>
      </w:r>
    </w:p>
    <w:p w14:paraId="73A591AA">
      <w:pPr>
        <w:shd w:val="clear" w:color="auto"/>
        <w:tabs>
          <w:tab w:val="left" w:pos="525"/>
          <w:tab w:val="left" w:pos="1050"/>
          <w:tab w:val="left" w:pos="1146"/>
          <w:tab w:val="left" w:pos="1254"/>
          <w:tab w:val="left" w:pos="177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12．不具备采购文件中规定的资格要求或未按采购文件规定的要求提供资格、资信证明文件的；</w:t>
      </w:r>
    </w:p>
    <w:p w14:paraId="6A1E522F">
      <w:pPr>
        <w:shd w:val="clear" w:color="auto"/>
        <w:tabs>
          <w:tab w:val="left" w:pos="525"/>
          <w:tab w:val="left" w:pos="1050"/>
          <w:tab w:val="left" w:pos="1146"/>
          <w:tab w:val="left" w:pos="1254"/>
          <w:tab w:val="left" w:pos="177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13．不同投标供应商投标文件中的项目相关人员出现同一人的；</w:t>
      </w:r>
    </w:p>
    <w:p w14:paraId="4A34253B">
      <w:pPr>
        <w:shd w:val="clear" w:color="auto"/>
        <w:tabs>
          <w:tab w:val="left" w:pos="525"/>
          <w:tab w:val="left" w:pos="1050"/>
          <w:tab w:val="left" w:pos="1146"/>
          <w:tab w:val="left" w:pos="1254"/>
          <w:tab w:val="left" w:pos="177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14．不同投标供应商聘请同一人为其投标提供技术或经济咨询服务的；</w:t>
      </w:r>
    </w:p>
    <w:p w14:paraId="24584B81">
      <w:pPr>
        <w:shd w:val="clear" w:color="auto"/>
        <w:tabs>
          <w:tab w:val="left" w:pos="525"/>
          <w:tab w:val="left" w:pos="1050"/>
          <w:tab w:val="left" w:pos="1146"/>
          <w:tab w:val="left" w:pos="1254"/>
          <w:tab w:val="left" w:pos="177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15．不同投标供应商的单位负责人为同一人或者存在直接控股、管理关系的；</w:t>
      </w:r>
    </w:p>
    <w:p w14:paraId="7E635FD5">
      <w:pPr>
        <w:shd w:val="clear" w:color="auto"/>
        <w:tabs>
          <w:tab w:val="left" w:pos="525"/>
          <w:tab w:val="left" w:pos="1050"/>
          <w:tab w:val="left" w:pos="1146"/>
          <w:tab w:val="left" w:pos="1254"/>
          <w:tab w:val="left" w:pos="177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16．不同投标供应商的投标文件异常一致或者投标报价呈规律性差异；</w:t>
      </w:r>
    </w:p>
    <w:p w14:paraId="1C691785">
      <w:pPr>
        <w:shd w:val="clear" w:color="auto"/>
        <w:tabs>
          <w:tab w:val="left" w:pos="525"/>
          <w:tab w:val="left" w:pos="1050"/>
          <w:tab w:val="left" w:pos="1146"/>
          <w:tab w:val="left" w:pos="1254"/>
          <w:tab w:val="left" w:pos="177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17．投标文件商务标中同一方案有选择性报价且未声明以哪一个为准的；</w:t>
      </w:r>
    </w:p>
    <w:p w14:paraId="1E4B0B23">
      <w:pPr>
        <w:shd w:val="clear" w:color="auto"/>
        <w:tabs>
          <w:tab w:val="left" w:pos="525"/>
          <w:tab w:val="left" w:pos="1050"/>
          <w:tab w:val="left" w:pos="1146"/>
          <w:tab w:val="left" w:pos="1254"/>
          <w:tab w:val="left" w:pos="177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18．投标文件报价出现前后不一致，投标供应商拒不确认修正后的报价的；</w:t>
      </w:r>
    </w:p>
    <w:p w14:paraId="03D43512">
      <w:pPr>
        <w:shd w:val="clear" w:color="auto"/>
        <w:tabs>
          <w:tab w:val="left" w:pos="525"/>
          <w:tab w:val="left" w:pos="1050"/>
          <w:tab w:val="left" w:pos="1146"/>
          <w:tab w:val="left" w:pos="1254"/>
          <w:tab w:val="left" w:pos="177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19．评标委员会认为投标供应商的报价明显低于其他通过符合性审查的投标供应商的报价，有可能影响产品质量或者不能诚信履约的，未能在合理的时间内（</w:t>
      </w:r>
      <w:r>
        <w:rPr>
          <w:rFonts w:hint="eastAsia" w:ascii="宋体" w:hAnsi="宋体" w:cs="宋体"/>
          <w:color w:val="auto"/>
          <w:sz w:val="24"/>
          <w:highlight w:val="none"/>
        </w:rPr>
        <w:t>自江苏省政府采购（苏采云）平台通知之时起一小时内</w:t>
      </w:r>
      <w:r>
        <w:rPr>
          <w:rFonts w:hint="eastAsia" w:ascii="宋体" w:hAnsi="宋体" w:cs="宋体"/>
          <w:bCs/>
          <w:color w:val="auto"/>
          <w:sz w:val="24"/>
          <w:highlight w:val="none"/>
        </w:rPr>
        <w:t>）提交书面说明或相关证明材料以证明其报价合理性的；</w:t>
      </w:r>
    </w:p>
    <w:p w14:paraId="169D71F6">
      <w:pPr>
        <w:shd w:val="clear" w:color="auto"/>
        <w:tabs>
          <w:tab w:val="left" w:pos="525"/>
          <w:tab w:val="left" w:pos="1050"/>
          <w:tab w:val="left" w:pos="1146"/>
          <w:tab w:val="left" w:pos="1254"/>
          <w:tab w:val="left" w:pos="177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20．未通过初步资格性审查、投标文件资格性检查、投标文件符合性检查的；</w:t>
      </w:r>
    </w:p>
    <w:p w14:paraId="494280D5">
      <w:pPr>
        <w:shd w:val="clear" w:color="auto"/>
        <w:tabs>
          <w:tab w:val="left" w:pos="525"/>
          <w:tab w:val="left" w:pos="1050"/>
          <w:tab w:val="left" w:pos="1146"/>
          <w:tab w:val="left" w:pos="1254"/>
          <w:tab w:val="left" w:pos="177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21．列入失信被执行人、重大税收违法失信主体、政府采购严重违法失信行为记录名单及其他不符合《中华人民共和国政府采购法》第二十二条规定条件的；</w:t>
      </w:r>
    </w:p>
    <w:p w14:paraId="724F79C9">
      <w:pPr>
        <w:shd w:val="clear" w:color="auto"/>
        <w:tabs>
          <w:tab w:val="left" w:pos="525"/>
          <w:tab w:val="left" w:pos="1050"/>
          <w:tab w:val="left" w:pos="1146"/>
          <w:tab w:val="left" w:pos="1254"/>
          <w:tab w:val="left" w:pos="177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22．不同投标供应商的投标文件存在明显的相似性或一致性，特征显示由同一单位或者同一个人编制的；</w:t>
      </w:r>
    </w:p>
    <w:p w14:paraId="6FDA472A">
      <w:pPr>
        <w:shd w:val="clear" w:color="auto"/>
        <w:tabs>
          <w:tab w:val="left" w:pos="525"/>
          <w:tab w:val="left" w:pos="1050"/>
          <w:tab w:val="left" w:pos="1146"/>
          <w:tab w:val="left" w:pos="1254"/>
          <w:tab w:val="left" w:pos="177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23．不同投标供应商投标文件内容存在非正常一致、项目组成员或者联系人员出现同一人、投标文件中错误（或异常）一致或雷同、电子文档信息一致或雷同的；</w:t>
      </w:r>
    </w:p>
    <w:p w14:paraId="4A6B6F8F">
      <w:pPr>
        <w:shd w:val="clear" w:color="auto"/>
        <w:tabs>
          <w:tab w:val="left" w:pos="525"/>
          <w:tab w:val="left" w:pos="1050"/>
          <w:tab w:val="left" w:pos="1146"/>
          <w:tab w:val="left" w:pos="1254"/>
          <w:tab w:val="left" w:pos="177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24．不同投标供应商的委托代理人、项目负责人以及其他相关人员有在同一个单位缴纳社会保险的；</w:t>
      </w:r>
    </w:p>
    <w:p w14:paraId="5566DAF8">
      <w:pPr>
        <w:shd w:val="clear" w:color="auto"/>
        <w:tabs>
          <w:tab w:val="left" w:pos="525"/>
          <w:tab w:val="left" w:pos="1050"/>
          <w:tab w:val="left" w:pos="1146"/>
          <w:tab w:val="left" w:pos="1254"/>
          <w:tab w:val="left" w:pos="177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25．同一投标文件中单位名称落款与公章不是同一单位的；</w:t>
      </w:r>
    </w:p>
    <w:p w14:paraId="775AB739">
      <w:pPr>
        <w:shd w:val="clear" w:color="auto"/>
        <w:tabs>
          <w:tab w:val="left" w:pos="525"/>
          <w:tab w:val="left" w:pos="1050"/>
          <w:tab w:val="left" w:pos="1146"/>
          <w:tab w:val="left" w:pos="1254"/>
          <w:tab w:val="left" w:pos="177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26．不同投标供应商委托同一单位或者个人办理投标事宜的；</w:t>
      </w:r>
    </w:p>
    <w:p w14:paraId="40915BBD">
      <w:pPr>
        <w:shd w:val="clear" w:color="auto"/>
        <w:tabs>
          <w:tab w:val="left" w:pos="525"/>
          <w:tab w:val="left" w:pos="1050"/>
          <w:tab w:val="left" w:pos="1146"/>
          <w:tab w:val="left" w:pos="1254"/>
          <w:tab w:val="left" w:pos="177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27．投标文件内容不全或不符合法律法规和采购文件中规定的其他实质性要求的。</w:t>
      </w:r>
    </w:p>
    <w:p w14:paraId="3B47D964">
      <w:pPr>
        <w:shd w:val="clear" w:color="auto"/>
        <w:tabs>
          <w:tab w:val="left" w:pos="525"/>
          <w:tab w:val="left" w:pos="1050"/>
          <w:tab w:val="left" w:pos="1146"/>
          <w:tab w:val="left" w:pos="1254"/>
          <w:tab w:val="left" w:pos="177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28．不同</w:t>
      </w:r>
      <w:r>
        <w:rPr>
          <w:rFonts w:hint="eastAsia" w:ascii="宋体" w:hAnsi="宋体" w:cs="宋体"/>
          <w:bCs/>
          <w:color w:val="auto"/>
          <w:sz w:val="24"/>
          <w:highlight w:val="none"/>
          <w:lang w:eastAsia="zh-CN"/>
        </w:rPr>
        <w:t>供应商</w:t>
      </w:r>
      <w:r>
        <w:rPr>
          <w:rFonts w:hint="eastAsia" w:ascii="宋体" w:hAnsi="宋体" w:cs="宋体"/>
          <w:bCs/>
          <w:color w:val="auto"/>
          <w:sz w:val="24"/>
          <w:highlight w:val="none"/>
        </w:rPr>
        <w:t>的投标文件由同一台电脑编制或者同一把数字证书加密锁加密或者同一台附属设备打印的；</w:t>
      </w:r>
    </w:p>
    <w:p w14:paraId="4B9280ED">
      <w:pPr>
        <w:shd w:val="clear" w:color="auto"/>
        <w:tabs>
          <w:tab w:val="left" w:pos="525"/>
          <w:tab w:val="left" w:pos="1050"/>
          <w:tab w:val="left" w:pos="1146"/>
          <w:tab w:val="left" w:pos="1254"/>
          <w:tab w:val="left" w:pos="177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29.不同</w:t>
      </w:r>
      <w:r>
        <w:rPr>
          <w:rFonts w:hint="eastAsia" w:ascii="宋体" w:hAnsi="宋体" w:cs="宋体"/>
          <w:bCs/>
          <w:color w:val="auto"/>
          <w:sz w:val="24"/>
          <w:highlight w:val="none"/>
          <w:lang w:eastAsia="zh-CN"/>
        </w:rPr>
        <w:t>供应商</w:t>
      </w:r>
      <w:r>
        <w:rPr>
          <w:rFonts w:hint="eastAsia" w:ascii="宋体" w:hAnsi="宋体" w:cs="宋体"/>
          <w:bCs/>
          <w:color w:val="auto"/>
          <w:sz w:val="24"/>
          <w:highlight w:val="none"/>
        </w:rPr>
        <w:t>的投标文件上传使用的MAC地址和IP地址一致的，其投标无效；</w:t>
      </w:r>
    </w:p>
    <w:p w14:paraId="3345578A">
      <w:pPr>
        <w:shd w:val="clear" w:color="auto"/>
        <w:tabs>
          <w:tab w:val="left" w:pos="525"/>
          <w:tab w:val="left" w:pos="1050"/>
          <w:tab w:val="left" w:pos="1146"/>
          <w:tab w:val="left" w:pos="1254"/>
          <w:tab w:val="left" w:pos="177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30.电子投标文件与采购文件要求格式不一致而无法导入计算机评标系统；</w:t>
      </w:r>
    </w:p>
    <w:p w14:paraId="0C851C53">
      <w:pPr>
        <w:shd w:val="clear" w:color="auto"/>
        <w:spacing w:line="360" w:lineRule="auto"/>
        <w:ind w:firstLine="480"/>
        <w:outlineLvl w:val="0"/>
        <w:rPr>
          <w:rFonts w:ascii="宋体" w:hAnsi="宋体" w:cs="宋体"/>
          <w:bCs/>
          <w:color w:val="auto"/>
          <w:sz w:val="24"/>
          <w:highlight w:val="none"/>
        </w:rPr>
      </w:pPr>
      <w:r>
        <w:rPr>
          <w:rFonts w:hint="eastAsia" w:ascii="宋体" w:hAnsi="宋体" w:cs="宋体"/>
          <w:bCs/>
          <w:color w:val="auto"/>
          <w:sz w:val="24"/>
          <w:highlight w:val="none"/>
        </w:rPr>
        <w:t>31.启用投标文件电子文本的项目，</w:t>
      </w:r>
      <w:r>
        <w:rPr>
          <w:rFonts w:hint="eastAsia" w:ascii="宋体" w:hAnsi="宋体" w:cs="宋体"/>
          <w:bCs/>
          <w:color w:val="auto"/>
          <w:sz w:val="24"/>
          <w:highlight w:val="none"/>
          <w:lang w:eastAsia="zh-CN"/>
        </w:rPr>
        <w:t>供应商</w:t>
      </w:r>
      <w:r>
        <w:rPr>
          <w:rFonts w:hint="eastAsia" w:ascii="宋体" w:hAnsi="宋体" w:cs="宋体"/>
          <w:bCs/>
          <w:color w:val="auto"/>
          <w:sz w:val="24"/>
          <w:highlight w:val="none"/>
        </w:rPr>
        <w:t>因自身原因造成投标文件电子文本无法导入应急开评标系统的。</w:t>
      </w:r>
    </w:p>
    <w:p w14:paraId="35F26C62">
      <w:pPr>
        <w:shd w:val="clear" w:color="auto"/>
        <w:spacing w:line="360" w:lineRule="auto"/>
        <w:ind w:firstLine="480"/>
        <w:outlineLvl w:val="0"/>
        <w:rPr>
          <w:rFonts w:ascii="宋体" w:hAnsi="宋体" w:cs="宋体"/>
          <w:bCs/>
          <w:color w:val="auto"/>
          <w:sz w:val="24"/>
          <w:highlight w:val="none"/>
        </w:rPr>
      </w:pPr>
      <w:r>
        <w:rPr>
          <w:rFonts w:hint="eastAsia" w:ascii="宋体" w:hAnsi="宋体" w:cs="宋体"/>
          <w:bCs/>
          <w:color w:val="auto"/>
          <w:sz w:val="24"/>
          <w:highlight w:val="none"/>
        </w:rPr>
        <w:t>32.技术标（暗标）中出现该</w:t>
      </w:r>
      <w:r>
        <w:rPr>
          <w:rFonts w:hint="eastAsia" w:ascii="宋体" w:hAnsi="宋体" w:cs="宋体"/>
          <w:bCs/>
          <w:color w:val="auto"/>
          <w:sz w:val="24"/>
          <w:highlight w:val="none"/>
          <w:lang w:eastAsia="zh-CN"/>
        </w:rPr>
        <w:t>供应商</w:t>
      </w:r>
      <w:r>
        <w:rPr>
          <w:rFonts w:hint="eastAsia" w:ascii="宋体" w:hAnsi="宋体" w:cs="宋体"/>
          <w:bCs/>
          <w:color w:val="auto"/>
          <w:sz w:val="24"/>
          <w:highlight w:val="none"/>
        </w:rPr>
        <w:t>单位名称、简称、人员姓名、LOGO、商标、电话号码等任何标识标记及其他暗示性标志的。</w:t>
      </w:r>
    </w:p>
    <w:p w14:paraId="35B730C9">
      <w:pPr>
        <w:shd w:val="clear" w:color="auto"/>
        <w:spacing w:line="360" w:lineRule="auto"/>
        <w:ind w:firstLine="480"/>
        <w:outlineLvl w:val="0"/>
        <w:rPr>
          <w:rFonts w:ascii="宋体" w:hAnsi="宋体" w:cs="宋体"/>
          <w:color w:val="auto"/>
          <w:sz w:val="24"/>
          <w:highlight w:val="none"/>
        </w:rPr>
      </w:pPr>
      <w:r>
        <w:rPr>
          <w:rFonts w:hint="eastAsia" w:ascii="宋体" w:hAnsi="宋体" w:cs="宋体"/>
          <w:bCs/>
          <w:color w:val="auto"/>
          <w:sz w:val="24"/>
          <w:highlight w:val="none"/>
        </w:rPr>
        <w:t>33.商务标（明标）和技术标（暗标），其中某一标被本项目评委确认为无效投标文件的。</w:t>
      </w:r>
      <w:r>
        <w:rPr>
          <w:rFonts w:hint="eastAsia" w:ascii="宋体" w:hAnsi="宋体" w:cs="宋体"/>
          <w:color w:val="auto"/>
          <w:sz w:val="24"/>
          <w:highlight w:val="none"/>
        </w:rPr>
        <w:t xml:space="preserve">   </w:t>
      </w:r>
      <w:r>
        <w:rPr>
          <w:rFonts w:hint="eastAsia" w:ascii="宋体" w:hAnsi="宋体" w:cs="宋体"/>
          <w:bCs/>
          <w:color w:val="auto"/>
          <w:sz w:val="24"/>
          <w:highlight w:val="none"/>
        </w:rPr>
        <w:t xml:space="preserve"> </w:t>
      </w:r>
    </w:p>
    <w:p w14:paraId="12E14723">
      <w:pPr>
        <w:shd w:val="clear" w:color="auto"/>
        <w:spacing w:line="360" w:lineRule="auto"/>
        <w:ind w:firstLine="360"/>
        <w:outlineLvl w:val="0"/>
        <w:rPr>
          <w:rFonts w:ascii="宋体" w:hAnsi="宋体" w:cs="宋体"/>
          <w:b/>
          <w:color w:val="auto"/>
          <w:sz w:val="24"/>
          <w:highlight w:val="none"/>
        </w:rPr>
      </w:pPr>
      <w:r>
        <w:rPr>
          <w:rFonts w:hint="eastAsia" w:ascii="宋体" w:hAnsi="宋体" w:cs="宋体"/>
          <w:b/>
          <w:color w:val="auto"/>
          <w:sz w:val="24"/>
          <w:highlight w:val="none"/>
        </w:rPr>
        <w:t>（九） 开标、评标：</w:t>
      </w:r>
    </w:p>
    <w:p w14:paraId="59ADF585">
      <w:pPr>
        <w:shd w:val="clear" w:color="auto"/>
        <w:spacing w:line="360" w:lineRule="auto"/>
        <w:ind w:firstLine="480"/>
        <w:rPr>
          <w:rFonts w:ascii="宋体" w:hAnsi="宋体" w:cs="宋体"/>
          <w:color w:val="auto"/>
          <w:sz w:val="24"/>
          <w:highlight w:val="none"/>
        </w:rPr>
      </w:pPr>
      <w:r>
        <w:rPr>
          <w:rFonts w:hint="eastAsia" w:ascii="宋体" w:hAnsi="宋体" w:cs="宋体"/>
          <w:color w:val="auto"/>
          <w:sz w:val="24"/>
          <w:highlight w:val="none"/>
        </w:rPr>
        <w:t>1．所有投标单位在采购文件规定的时间内解密各自投标文件。</w:t>
      </w:r>
    </w:p>
    <w:p w14:paraId="64050FF5">
      <w:pPr>
        <w:shd w:val="clear" w:color="auto"/>
        <w:spacing w:line="360" w:lineRule="auto"/>
        <w:ind w:firstLine="480"/>
        <w:rPr>
          <w:rFonts w:ascii="宋体" w:hAnsi="宋体" w:cs="宋体"/>
          <w:color w:val="auto"/>
          <w:sz w:val="24"/>
          <w:highlight w:val="none"/>
        </w:rPr>
      </w:pPr>
      <w:r>
        <w:rPr>
          <w:rFonts w:hint="eastAsia" w:ascii="宋体" w:hAnsi="宋体" w:cs="宋体"/>
          <w:color w:val="auto"/>
          <w:sz w:val="24"/>
          <w:highlight w:val="none"/>
        </w:rPr>
        <w:t>2．解密时，供应商须自行准备设备（包括但不限于笔记本电脑、无线网络）登录“江苏省政府采购（苏采云）平台”，按采购文件规定时间解密后，在评审过程中保持在线，等待评标委员会的询问，并等待评审结果，中途不得离开。如未按要求应答，由此所产生的损失及风险由供应商自行承担。</w:t>
      </w:r>
    </w:p>
    <w:p w14:paraId="6EC5F3FD">
      <w:pPr>
        <w:shd w:val="clear" w:color="auto"/>
        <w:spacing w:line="360" w:lineRule="auto"/>
        <w:ind w:firstLine="480"/>
        <w:rPr>
          <w:rFonts w:ascii="宋体" w:hAnsi="宋体" w:cs="宋体"/>
          <w:color w:val="auto"/>
          <w:sz w:val="24"/>
          <w:highlight w:val="none"/>
        </w:rPr>
      </w:pPr>
      <w:r>
        <w:rPr>
          <w:rFonts w:hint="eastAsia" w:ascii="宋体" w:hAnsi="宋体" w:cs="宋体"/>
          <w:color w:val="auto"/>
          <w:sz w:val="24"/>
          <w:highlight w:val="none"/>
        </w:rPr>
        <w:t>3.投标截止时间后参加投标的供应商或解密投标文件的供应商不足三家的，不开标；开标后，所有投标供应商可在线上开标大厅中看到所有投标供应商的投标报价。</w:t>
      </w:r>
    </w:p>
    <w:p w14:paraId="2A964EE0">
      <w:pPr>
        <w:shd w:val="clear" w:color="auto"/>
        <w:spacing w:line="360" w:lineRule="auto"/>
        <w:ind w:firstLine="480"/>
        <w:rPr>
          <w:rFonts w:ascii="宋体" w:hAnsi="宋体" w:cs="宋体"/>
          <w:color w:val="auto"/>
          <w:sz w:val="24"/>
          <w:highlight w:val="none"/>
        </w:rPr>
      </w:pPr>
      <w:r>
        <w:rPr>
          <w:rFonts w:hint="eastAsia" w:ascii="宋体" w:hAnsi="宋体" w:cs="宋体"/>
          <w:color w:val="auto"/>
          <w:sz w:val="24"/>
          <w:highlight w:val="none"/>
        </w:rPr>
        <w:t>4.投标文件的审查</w:t>
      </w:r>
    </w:p>
    <w:p w14:paraId="4F9C3B76">
      <w:pPr>
        <w:pStyle w:val="227"/>
        <w:shd w:val="clear" w:color="auto"/>
        <w:spacing w:line="360" w:lineRule="auto"/>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 投标文件报价出现前后不一致的，按照下列规定修正： </w:t>
      </w:r>
    </w:p>
    <w:p w14:paraId="3741C6CE">
      <w:pPr>
        <w:pStyle w:val="227"/>
        <w:shd w:val="clear" w:color="auto"/>
        <w:spacing w:line="360" w:lineRule="auto"/>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①投标文件中开标一览表（报价表）内容与投标文件中相应内容不一致的，以开标一览表（报价表）为准；</w:t>
      </w:r>
    </w:p>
    <w:p w14:paraId="1209C946">
      <w:pPr>
        <w:pStyle w:val="227"/>
        <w:shd w:val="clear" w:color="auto"/>
        <w:spacing w:line="360" w:lineRule="auto"/>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②大写金额和小写金额不一致的，以大写金额为准；</w:t>
      </w:r>
    </w:p>
    <w:p w14:paraId="0856E2F1">
      <w:pPr>
        <w:pStyle w:val="227"/>
        <w:shd w:val="clear" w:color="auto"/>
        <w:spacing w:line="360" w:lineRule="auto"/>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③单价金额小数点或者百分比有明显错位的，以开标一览表的总价为准，并修改单价；</w:t>
      </w:r>
    </w:p>
    <w:p w14:paraId="152989B0">
      <w:pPr>
        <w:pStyle w:val="227"/>
        <w:shd w:val="clear" w:color="auto"/>
        <w:spacing w:line="360" w:lineRule="auto"/>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④总价金额与按单价汇总金额不一致的，以单价金额计算结果为准。</w:t>
      </w:r>
    </w:p>
    <w:p w14:paraId="74099D07">
      <w:pPr>
        <w:pStyle w:val="227"/>
        <w:shd w:val="clear" w:color="auto"/>
        <w:spacing w:line="360" w:lineRule="auto"/>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⑤同时出现两种以上不一致的，按照上述①-④款规定的顺序修正。修正后的报价经供应商书面澄清、说明或者补正，并加盖供应商公章，或者有法定代表人或其授权的代表签字作为确认后产生约束力，供应商不确认的，其投标无效。</w:t>
      </w:r>
    </w:p>
    <w:p w14:paraId="60D949EA">
      <w:pPr>
        <w:pStyle w:val="227"/>
        <w:shd w:val="clear" w:color="auto"/>
        <w:spacing w:line="360" w:lineRule="auto"/>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(2)电子投标文件与纸质投标文件（如有）不符的，以电子投标文件为准。</w:t>
      </w:r>
    </w:p>
    <w:p w14:paraId="4D58414D">
      <w:pPr>
        <w:pStyle w:val="227"/>
        <w:shd w:val="clear" w:color="auto"/>
        <w:spacing w:line="360" w:lineRule="auto"/>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(3)供应商未参加开标的，视同认可开标结果。</w:t>
      </w:r>
    </w:p>
    <w:p w14:paraId="5C9FE54B">
      <w:pPr>
        <w:shd w:val="clear" w:color="auto"/>
        <w:spacing w:line="360" w:lineRule="auto"/>
        <w:ind w:firstLine="480"/>
        <w:rPr>
          <w:rFonts w:ascii="宋体" w:hAnsi="宋体" w:cs="宋体"/>
          <w:color w:val="auto"/>
          <w:sz w:val="24"/>
          <w:highlight w:val="none"/>
        </w:rPr>
      </w:pPr>
      <w:r>
        <w:rPr>
          <w:rFonts w:hint="eastAsia" w:ascii="宋体" w:hAnsi="宋体" w:cs="宋体"/>
          <w:color w:val="auto"/>
          <w:sz w:val="24"/>
          <w:highlight w:val="none"/>
        </w:rPr>
        <w:t>4.评标程序</w:t>
      </w:r>
    </w:p>
    <w:p w14:paraId="699100D3">
      <w:pPr>
        <w:shd w:val="clear" w:color="auto"/>
        <w:spacing w:line="360" w:lineRule="auto"/>
        <w:ind w:firstLine="480"/>
        <w:rPr>
          <w:rFonts w:ascii="宋体" w:hAnsi="宋体" w:cs="宋体"/>
          <w:color w:val="auto"/>
          <w:sz w:val="24"/>
          <w:highlight w:val="none"/>
        </w:rPr>
      </w:pPr>
      <w:r>
        <w:rPr>
          <w:rFonts w:hint="eastAsia" w:ascii="宋体" w:hAnsi="宋体" w:cs="宋体"/>
          <w:color w:val="auto"/>
          <w:sz w:val="24"/>
          <w:highlight w:val="none"/>
        </w:rPr>
        <w:t>评标工作由</w:t>
      </w:r>
      <w:r>
        <w:rPr>
          <w:rFonts w:hint="eastAsia" w:ascii="宋体" w:hAnsi="宋体" w:cs="宋体"/>
          <w:color w:val="auto"/>
          <w:sz w:val="24"/>
          <w:highlight w:val="none"/>
          <w:lang w:eastAsia="zh-CN"/>
        </w:rPr>
        <w:t>北京中昌工程咨询有限公司</w:t>
      </w:r>
      <w:r>
        <w:rPr>
          <w:rFonts w:hint="eastAsia" w:ascii="宋体" w:hAnsi="宋体" w:cs="宋体"/>
          <w:color w:val="auto"/>
          <w:sz w:val="24"/>
          <w:highlight w:val="none"/>
        </w:rPr>
        <w:t>负责组织，具体评标事务由依法组建的评标委员会负责。</w:t>
      </w:r>
    </w:p>
    <w:p w14:paraId="1A4D4903">
      <w:pPr>
        <w:shd w:val="clear" w:color="auto"/>
        <w:spacing w:line="360" w:lineRule="auto"/>
        <w:ind w:firstLine="480"/>
        <w:rPr>
          <w:rFonts w:ascii="宋体" w:hAnsi="宋体" w:cs="宋体"/>
          <w:color w:val="auto"/>
          <w:sz w:val="24"/>
          <w:highlight w:val="none"/>
        </w:rPr>
      </w:pPr>
      <w:r>
        <w:rPr>
          <w:rFonts w:hint="eastAsia" w:ascii="宋体" w:hAnsi="宋体" w:cs="宋体"/>
          <w:color w:val="auto"/>
          <w:sz w:val="24"/>
          <w:highlight w:val="none"/>
        </w:rPr>
        <w:t>(1)投标文件初审。初审分为资格性检查和符合性检查。</w:t>
      </w:r>
    </w:p>
    <w:p w14:paraId="00A1BE86">
      <w:pPr>
        <w:shd w:val="clear" w:color="auto"/>
        <w:spacing w:line="360" w:lineRule="auto"/>
        <w:ind w:firstLine="480"/>
        <w:rPr>
          <w:rFonts w:ascii="宋体" w:hAnsi="宋体" w:cs="宋体"/>
          <w:color w:val="auto"/>
          <w:sz w:val="24"/>
          <w:highlight w:val="none"/>
        </w:rPr>
      </w:pPr>
      <w:r>
        <w:rPr>
          <w:rFonts w:hint="eastAsia" w:ascii="宋体" w:hAnsi="宋体" w:cs="宋体"/>
          <w:color w:val="auto"/>
          <w:sz w:val="24"/>
          <w:highlight w:val="none"/>
        </w:rPr>
        <w:t>A．资格性检查。</w:t>
      </w:r>
      <w:r>
        <w:rPr>
          <w:rFonts w:hint="eastAsia" w:ascii="宋体" w:hAnsi="宋体" w:eastAsia="宋体" w:cs="宋体"/>
          <w:bCs/>
          <w:color w:val="auto"/>
          <w:sz w:val="24"/>
          <w:highlight w:val="none"/>
        </w:rPr>
        <w:t>由采购人或采购代理机</w:t>
      </w:r>
      <w:r>
        <w:rPr>
          <w:rFonts w:hint="eastAsia" w:ascii="宋体" w:hAnsi="宋体" w:cs="宋体"/>
          <w:color w:val="auto"/>
          <w:sz w:val="24"/>
          <w:highlight w:val="none"/>
        </w:rPr>
        <w:t>依据法律法规和招标文件的规定，对投标文件中的资格证明、投标（报价）承诺函等进行审查；通过“信用中国”网站(www.creditchina.gov.cn)、中国政府采购网(www.ccgp.gov.cn)、 查询投标供应商在投标截止时间之前，是否被列入失信被执行人、重大税收违法案件失信主体、政府采购严重违法失信行为记录名单，以确定投标供应商是否具备投标资格。信用查询结果以网页打印的形式留存并归档。</w:t>
      </w:r>
    </w:p>
    <w:p w14:paraId="7BD4E1E6">
      <w:pPr>
        <w:shd w:val="clear" w:color="auto"/>
        <w:spacing w:line="360" w:lineRule="auto"/>
        <w:ind w:firstLine="480"/>
        <w:rPr>
          <w:rFonts w:ascii="宋体" w:hAnsi="宋体" w:cs="宋体"/>
          <w:color w:val="auto"/>
          <w:sz w:val="24"/>
          <w:highlight w:val="none"/>
        </w:rPr>
      </w:pPr>
      <w:r>
        <w:rPr>
          <w:rFonts w:hint="eastAsia" w:ascii="宋体" w:hAnsi="宋体" w:cs="宋体"/>
          <w:color w:val="auto"/>
          <w:sz w:val="24"/>
          <w:highlight w:val="none"/>
        </w:rPr>
        <w:t>B．符合性检查。评标委员会依据招标文件的规定，从投标文件的有效性、完整性和对招标文件的响应程度进行审查，以确定是否对招标文件的实质性要求作出响应。</w:t>
      </w:r>
    </w:p>
    <w:p w14:paraId="70BF6951">
      <w:pPr>
        <w:shd w:val="clear" w:color="auto"/>
        <w:spacing w:line="360" w:lineRule="auto"/>
        <w:ind w:firstLine="480"/>
        <w:rPr>
          <w:rFonts w:ascii="宋体" w:hAnsi="宋体" w:cs="宋体"/>
          <w:color w:val="auto"/>
          <w:sz w:val="24"/>
          <w:highlight w:val="none"/>
        </w:rPr>
      </w:pPr>
      <w:r>
        <w:rPr>
          <w:rFonts w:hint="eastAsia" w:ascii="宋体" w:hAnsi="宋体" w:cs="宋体"/>
          <w:color w:val="auto"/>
          <w:sz w:val="24"/>
          <w:highlight w:val="none"/>
        </w:rPr>
        <w:t>(2)澄清有关问题。对投标文件中含义不明确、同类问题表述不一致或者有明显文字和计算错误的内容，评标委员会有权要求</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作出必要的澄清、说明或者补正。</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的澄清、说明或者补正不得超出投标文件的范围或者改变投标文件的实质性内容。需要供应商进行澄清、说明和补正的，评委会将通过“苏采云”系统向供应商发出“澄清要求函”，接到“澄清要求函”的</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应当按照要求在“苏采云”系统中提交“澄清响应函”并加盖CA电子公章。澄清、说明和补正的内容作为投标文件的补充部分，具体操作方式见《操作手册》。接到评委会澄清、说明和补正要求的</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如未按规定及时作出澄清、说明和补正，其风险由</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自行承担。</w:t>
      </w:r>
    </w:p>
    <w:p w14:paraId="4CE8C8AF">
      <w:pPr>
        <w:shd w:val="clear" w:color="auto"/>
        <w:spacing w:line="360" w:lineRule="auto"/>
        <w:ind w:firstLine="480"/>
        <w:rPr>
          <w:rFonts w:ascii="宋体" w:hAnsi="宋体" w:cs="宋体"/>
          <w:color w:val="auto"/>
          <w:sz w:val="24"/>
          <w:highlight w:val="none"/>
        </w:rPr>
      </w:pPr>
      <w:r>
        <w:rPr>
          <w:rFonts w:hint="eastAsia" w:ascii="宋体" w:hAnsi="宋体" w:cs="宋体"/>
          <w:color w:val="auto"/>
          <w:sz w:val="24"/>
          <w:highlight w:val="none"/>
        </w:rPr>
        <w:t>(3)比较与评价。评标委员会按招标文件中规定的评标方法和标准，对资格性检查和符合性检查合格的投标文件进行商务和技术评估，综合比较与评价。</w:t>
      </w:r>
    </w:p>
    <w:p w14:paraId="1D1287A1">
      <w:pPr>
        <w:shd w:val="clear" w:color="auto"/>
        <w:spacing w:line="360" w:lineRule="auto"/>
        <w:ind w:firstLine="480"/>
        <w:rPr>
          <w:rFonts w:ascii="宋体" w:hAnsi="宋体" w:cs="宋体"/>
          <w:color w:val="auto"/>
          <w:sz w:val="24"/>
          <w:highlight w:val="none"/>
        </w:rPr>
      </w:pPr>
      <w:r>
        <w:rPr>
          <w:rFonts w:hint="eastAsia" w:ascii="宋体" w:hAnsi="宋体" w:cs="宋体"/>
          <w:color w:val="auto"/>
          <w:sz w:val="24"/>
          <w:highlight w:val="none"/>
        </w:rPr>
        <w:t>5.评标方法</w:t>
      </w:r>
    </w:p>
    <w:p w14:paraId="66BB476E">
      <w:pPr>
        <w:shd w:val="clear" w:color="auto"/>
        <w:tabs>
          <w:tab w:val="left" w:pos="525"/>
          <w:tab w:val="left" w:pos="1050"/>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投标供应商通过初审的，方可进入比较与评价程序。</w:t>
      </w:r>
    </w:p>
    <w:p w14:paraId="634F85C1">
      <w:pPr>
        <w:shd w:val="clear" w:color="auto"/>
        <w:spacing w:line="360" w:lineRule="auto"/>
        <w:ind w:firstLine="523"/>
        <w:rPr>
          <w:rFonts w:ascii="宋体" w:hAnsi="宋体" w:cs="宋体"/>
          <w:color w:val="auto"/>
          <w:sz w:val="24"/>
          <w:highlight w:val="none"/>
        </w:rPr>
      </w:pPr>
      <w:r>
        <w:rPr>
          <w:rFonts w:hint="eastAsia" w:ascii="宋体" w:hAnsi="宋体" w:cs="宋体"/>
          <w:color w:val="auto"/>
          <w:sz w:val="24"/>
          <w:highlight w:val="none"/>
        </w:rPr>
        <w:t>比较与评价采用综合评分法（计分均保留2位小数）。</w:t>
      </w:r>
    </w:p>
    <w:p w14:paraId="6281441C">
      <w:pPr>
        <w:shd w:val="clear" w:color="auto"/>
        <w:spacing w:line="360" w:lineRule="auto"/>
        <w:ind w:firstLine="480"/>
        <w:rPr>
          <w:rFonts w:ascii="宋体" w:hAnsi="宋体" w:cs="宋体"/>
          <w:color w:val="auto"/>
          <w:sz w:val="24"/>
          <w:highlight w:val="none"/>
        </w:rPr>
      </w:pPr>
      <w:r>
        <w:rPr>
          <w:rFonts w:hint="eastAsia" w:ascii="宋体" w:hAnsi="宋体" w:cs="宋体"/>
          <w:color w:val="auto"/>
          <w:sz w:val="24"/>
          <w:highlight w:val="none"/>
        </w:rPr>
        <w:t>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并列。并列的</w:t>
      </w:r>
      <w:r>
        <w:rPr>
          <w:rFonts w:hint="eastAsia" w:ascii="宋体" w:hAnsi="宋体" w:cs="宋体"/>
          <w:bCs/>
          <w:color w:val="auto"/>
          <w:sz w:val="24"/>
          <w:szCs w:val="20"/>
          <w:highlight w:val="none"/>
        </w:rPr>
        <w:t>按技术指标优劣顺序排列。</w:t>
      </w:r>
      <w:r>
        <w:rPr>
          <w:rFonts w:hint="eastAsia" w:ascii="宋体" w:hAnsi="宋体" w:cs="宋体"/>
          <w:color w:val="auto"/>
          <w:sz w:val="24"/>
          <w:highlight w:val="none"/>
        </w:rPr>
        <w:t>投标文件满足招标文件全部实质性要求，且按照评审因素的量化指标评审得分最高的投标供应商为排名第一的中标候选人。未列入本评分细则的其他条件不作为评分内容。</w:t>
      </w:r>
    </w:p>
    <w:p w14:paraId="381E742E">
      <w:pPr>
        <w:shd w:val="clear" w:color="auto"/>
        <w:spacing w:line="360" w:lineRule="auto"/>
        <w:ind w:firstLine="480"/>
        <w:rPr>
          <w:rFonts w:ascii="宋体" w:hAnsi="宋体" w:cs="宋体"/>
          <w:b/>
          <w:bCs/>
          <w:color w:val="auto"/>
          <w:sz w:val="24"/>
          <w:highlight w:val="none"/>
        </w:rPr>
      </w:pPr>
      <w:r>
        <w:rPr>
          <w:rFonts w:hint="eastAsia" w:ascii="宋体" w:hAnsi="宋体" w:cs="宋体"/>
          <w:color w:val="auto"/>
          <w:sz w:val="24"/>
          <w:highlight w:val="none"/>
        </w:rPr>
        <w:t>6.评分标准</w:t>
      </w:r>
    </w:p>
    <w:p w14:paraId="3527BBA5">
      <w:pPr>
        <w:shd w:val="clear" w:color="auto"/>
        <w:spacing w:line="360" w:lineRule="auto"/>
        <w:ind w:firstLine="425"/>
        <w:rPr>
          <w:rFonts w:ascii="宋体" w:hAnsi="宋体" w:cs="宋体"/>
          <w:color w:val="auto"/>
          <w:sz w:val="24"/>
          <w:highlight w:val="none"/>
        </w:rPr>
      </w:pPr>
      <w:r>
        <w:rPr>
          <w:rFonts w:hint="eastAsia" w:ascii="宋体" w:hAnsi="宋体" w:cs="宋体"/>
          <w:color w:val="auto"/>
          <w:sz w:val="24"/>
          <w:highlight w:val="none"/>
        </w:rPr>
        <w:t>（一）评分项目及总分（总分100分）</w:t>
      </w:r>
    </w:p>
    <w:p w14:paraId="6D768ADA">
      <w:pPr>
        <w:shd w:val="clear" w:color="auto"/>
        <w:spacing w:line="360" w:lineRule="auto"/>
        <w:ind w:firstLine="426"/>
        <w:rPr>
          <w:rFonts w:ascii="宋体" w:hAnsi="宋体" w:cs="宋体"/>
          <w:b/>
          <w:color w:val="auto"/>
          <w:sz w:val="24"/>
          <w:highlight w:val="none"/>
        </w:rPr>
      </w:pPr>
      <w:r>
        <w:rPr>
          <w:rFonts w:hint="eastAsia" w:ascii="宋体" w:hAnsi="宋体" w:cs="宋体"/>
          <w:b/>
          <w:color w:val="auto"/>
          <w:sz w:val="24"/>
          <w:highlight w:val="none"/>
        </w:rPr>
        <w:t>（1）投标报价                                  20分</w:t>
      </w:r>
    </w:p>
    <w:p w14:paraId="1E8D225B">
      <w:pPr>
        <w:shd w:val="clear" w:color="auto"/>
        <w:spacing w:line="360" w:lineRule="auto"/>
        <w:ind w:firstLine="426"/>
        <w:rPr>
          <w:rFonts w:ascii="宋体" w:hAnsi="宋体" w:cs="宋体"/>
          <w:b/>
          <w:color w:val="auto"/>
          <w:sz w:val="24"/>
          <w:highlight w:val="none"/>
        </w:rPr>
      </w:pPr>
      <w:r>
        <w:rPr>
          <w:rFonts w:hint="eastAsia" w:ascii="宋体" w:hAnsi="宋体" w:cs="宋体"/>
          <w:b/>
          <w:color w:val="auto"/>
          <w:sz w:val="24"/>
          <w:highlight w:val="none"/>
        </w:rPr>
        <w:t>（2）</w:t>
      </w:r>
      <w:r>
        <w:rPr>
          <w:rFonts w:hint="eastAsia" w:ascii="宋体" w:hAnsi="宋体" w:cs="宋体"/>
          <w:b/>
          <w:bCs/>
          <w:color w:val="auto"/>
          <w:sz w:val="24"/>
          <w:highlight w:val="none"/>
        </w:rPr>
        <w:t>供应商评价</w:t>
      </w:r>
      <w:r>
        <w:rPr>
          <w:rFonts w:hint="eastAsia" w:ascii="宋体" w:hAnsi="宋体" w:cs="宋体"/>
          <w:b/>
          <w:color w:val="auto"/>
          <w:sz w:val="24"/>
          <w:highlight w:val="none"/>
        </w:rPr>
        <w:t xml:space="preserve">                                20分</w:t>
      </w:r>
    </w:p>
    <w:p w14:paraId="523909A7">
      <w:pPr>
        <w:shd w:val="clear" w:color="auto"/>
        <w:spacing w:line="360" w:lineRule="auto"/>
        <w:ind w:firstLine="426"/>
        <w:rPr>
          <w:rFonts w:ascii="宋体" w:hAnsi="宋体" w:cs="宋体"/>
          <w:b/>
          <w:color w:val="auto"/>
          <w:sz w:val="24"/>
          <w:highlight w:val="none"/>
        </w:rPr>
      </w:pPr>
      <w:r>
        <w:rPr>
          <w:rFonts w:hint="eastAsia" w:ascii="宋体" w:hAnsi="宋体" w:cs="宋体"/>
          <w:b/>
          <w:color w:val="auto"/>
          <w:sz w:val="24"/>
          <w:highlight w:val="none"/>
        </w:rPr>
        <w:t>（3）</w:t>
      </w:r>
      <w:r>
        <w:rPr>
          <w:rFonts w:hint="eastAsia" w:ascii="宋体" w:hAnsi="宋体" w:cs="宋体"/>
          <w:b/>
          <w:color w:val="auto"/>
          <w:sz w:val="24"/>
          <w:highlight w:val="none"/>
          <w:lang w:val="en-US" w:eastAsia="zh-CN"/>
        </w:rPr>
        <w:t>技术标-</w:t>
      </w:r>
      <w:r>
        <w:rPr>
          <w:rFonts w:hint="eastAsia" w:ascii="宋体" w:hAnsi="宋体" w:cs="宋体"/>
          <w:b/>
          <w:color w:val="auto"/>
          <w:sz w:val="24"/>
          <w:highlight w:val="none"/>
        </w:rPr>
        <w:t>服务方案（暗标）                   60分</w:t>
      </w:r>
    </w:p>
    <w:p w14:paraId="70215965">
      <w:pPr>
        <w:shd w:val="clear" w:color="auto"/>
        <w:spacing w:line="360" w:lineRule="auto"/>
        <w:ind w:firstLine="426"/>
        <w:rPr>
          <w:rFonts w:ascii="宋体" w:hAnsi="宋体" w:cs="宋体"/>
          <w:b/>
          <w:color w:val="auto"/>
          <w:sz w:val="24"/>
          <w:highlight w:val="none"/>
        </w:rPr>
      </w:pPr>
      <w:r>
        <w:rPr>
          <w:rFonts w:hint="eastAsia" w:ascii="宋体" w:hAnsi="宋体" w:cs="宋体"/>
          <w:b/>
          <w:color w:val="auto"/>
          <w:sz w:val="24"/>
          <w:highlight w:val="none"/>
        </w:rPr>
        <w:t>商务部分（40分）：</w:t>
      </w:r>
    </w:p>
    <w:p w14:paraId="2C4FF33D">
      <w:pPr>
        <w:shd w:val="clear" w:color="auto"/>
        <w:spacing w:line="360" w:lineRule="auto"/>
        <w:ind w:firstLine="426"/>
        <w:rPr>
          <w:rFonts w:ascii="宋体" w:hAnsi="宋体" w:cs="宋体"/>
          <w:b/>
          <w:color w:val="auto"/>
          <w:sz w:val="24"/>
          <w:highlight w:val="none"/>
        </w:rPr>
      </w:pPr>
      <w:r>
        <w:rPr>
          <w:rFonts w:hint="eastAsia" w:ascii="宋体" w:hAnsi="宋体" w:cs="宋体"/>
          <w:b/>
          <w:color w:val="auto"/>
          <w:sz w:val="24"/>
          <w:highlight w:val="none"/>
        </w:rPr>
        <w:t>1.报价（</w:t>
      </w:r>
      <w:r>
        <w:rPr>
          <w:rFonts w:hint="eastAsia" w:ascii="宋体" w:hAnsi="宋体" w:cs="宋体"/>
          <w:b/>
          <w:bCs/>
          <w:color w:val="auto"/>
          <w:sz w:val="24"/>
          <w:highlight w:val="none"/>
        </w:rPr>
        <w:t>20分</w:t>
      </w:r>
      <w:r>
        <w:rPr>
          <w:rFonts w:hint="eastAsia" w:ascii="宋体" w:hAnsi="宋体" w:cs="宋体"/>
          <w:b/>
          <w:color w:val="auto"/>
          <w:sz w:val="24"/>
          <w:highlight w:val="none"/>
        </w:rPr>
        <w:t>)</w:t>
      </w:r>
    </w:p>
    <w:p w14:paraId="0BA21328">
      <w:pPr>
        <w:shd w:val="clear" w:color="auto"/>
        <w:tabs>
          <w:tab w:val="left" w:pos="945"/>
          <w:tab w:val="left" w:pos="1155"/>
        </w:tabs>
        <w:spacing w:line="360" w:lineRule="auto"/>
        <w:ind w:firstLine="480"/>
        <w:rPr>
          <w:rFonts w:ascii="宋体"/>
          <w:bCs/>
          <w:color w:val="auto"/>
          <w:sz w:val="24"/>
          <w:highlight w:val="none"/>
        </w:rPr>
      </w:pPr>
      <w:r>
        <w:rPr>
          <w:rFonts w:hint="eastAsia" w:ascii="宋体" w:hAnsi="宋体"/>
          <w:bCs/>
          <w:color w:val="auto"/>
          <w:sz w:val="24"/>
          <w:highlight w:val="none"/>
        </w:rPr>
        <w:t>采用低价优先法计算，即满足招标文件要求且投标价格最低的投标报价为评标基准价，其价格分为满分。其他</w:t>
      </w:r>
      <w:r>
        <w:rPr>
          <w:rFonts w:hint="eastAsia" w:ascii="宋体" w:hAnsi="宋体"/>
          <w:bCs/>
          <w:color w:val="auto"/>
          <w:sz w:val="24"/>
          <w:highlight w:val="none"/>
          <w:lang w:eastAsia="zh-CN"/>
        </w:rPr>
        <w:t>供应商</w:t>
      </w:r>
      <w:r>
        <w:rPr>
          <w:rFonts w:hint="eastAsia" w:ascii="宋体" w:hAnsi="宋体"/>
          <w:bCs/>
          <w:color w:val="auto"/>
          <w:sz w:val="24"/>
          <w:highlight w:val="none"/>
        </w:rPr>
        <w:t>的价格分统一按照下列公式计算：</w:t>
      </w:r>
    </w:p>
    <w:p w14:paraId="7B3E686E">
      <w:pPr>
        <w:shd w:val="clear" w:color="auto"/>
        <w:tabs>
          <w:tab w:val="left" w:pos="945"/>
          <w:tab w:val="left" w:pos="1155"/>
        </w:tabs>
        <w:spacing w:line="360" w:lineRule="auto"/>
        <w:ind w:firstLine="480"/>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投标报价得分=(评标基准价／投标报价)×价格权值×100。</w:t>
      </w:r>
    </w:p>
    <w:p w14:paraId="54729612">
      <w:pPr>
        <w:shd w:val="clear" w:color="auto"/>
        <w:tabs>
          <w:tab w:val="left" w:pos="945"/>
          <w:tab w:val="left" w:pos="1155"/>
        </w:tabs>
        <w:spacing w:line="360" w:lineRule="auto"/>
        <w:ind w:firstLine="480"/>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本项目专门面向中小/小微企业采购，不执行价格扣除政策。</w:t>
      </w:r>
    </w:p>
    <w:p w14:paraId="23C9DE9F">
      <w:pPr>
        <w:shd w:val="clear" w:color="auto"/>
        <w:spacing w:line="360" w:lineRule="auto"/>
        <w:ind w:firstLine="426"/>
        <w:rPr>
          <w:rFonts w:hint="eastAsia" w:ascii="宋体" w:hAnsi="宋体" w:cs="宋体"/>
          <w:b/>
          <w:color w:val="auto"/>
          <w:sz w:val="24"/>
          <w:highlight w:val="none"/>
        </w:rPr>
      </w:pPr>
      <w:r>
        <w:rPr>
          <w:rFonts w:hint="eastAsia" w:ascii="宋体" w:hAnsi="宋体" w:cs="宋体"/>
          <w:b/>
          <w:color w:val="auto"/>
          <w:sz w:val="24"/>
          <w:highlight w:val="none"/>
        </w:rPr>
        <w:t>2.供应商评价（20分）</w:t>
      </w:r>
    </w:p>
    <w:p w14:paraId="2B78602D">
      <w:pPr>
        <w:shd w:val="clear" w:color="auto"/>
        <w:tabs>
          <w:tab w:val="left" w:pos="945"/>
          <w:tab w:val="left" w:pos="1155"/>
        </w:tabs>
        <w:spacing w:line="360" w:lineRule="auto"/>
        <w:ind w:firstLine="480"/>
        <w:rPr>
          <w:rFonts w:ascii="宋体" w:hAnsi="宋体"/>
          <w:bCs/>
          <w:color w:val="auto"/>
          <w:sz w:val="24"/>
          <w:highlight w:val="none"/>
        </w:rPr>
      </w:pPr>
      <w:r>
        <w:rPr>
          <w:rFonts w:hint="eastAsia" w:ascii="宋体" w:hAnsi="宋体" w:cs="宋体"/>
          <w:b/>
          <w:color w:val="auto"/>
          <w:sz w:val="24"/>
          <w:highlight w:val="none"/>
        </w:rPr>
        <w:t>（1）业绩（</w:t>
      </w:r>
      <w:r>
        <w:rPr>
          <w:rFonts w:hint="eastAsia" w:ascii="宋体" w:hAnsi="宋体" w:cs="宋体"/>
          <w:b/>
          <w:color w:val="auto"/>
          <w:sz w:val="24"/>
          <w:highlight w:val="none"/>
          <w:lang w:val="en-US" w:eastAsia="zh-CN"/>
        </w:rPr>
        <w:t>3</w:t>
      </w:r>
      <w:r>
        <w:rPr>
          <w:rFonts w:hint="eastAsia" w:ascii="宋体" w:hAnsi="宋体" w:cs="宋体"/>
          <w:b/>
          <w:color w:val="auto"/>
          <w:sz w:val="24"/>
          <w:highlight w:val="none"/>
        </w:rPr>
        <w:t>分）：</w:t>
      </w:r>
      <w:r>
        <w:rPr>
          <w:rFonts w:hint="eastAsia" w:ascii="宋体" w:hAnsi="宋体"/>
          <w:bCs/>
          <w:color w:val="auto"/>
          <w:sz w:val="24"/>
          <w:highlight w:val="none"/>
          <w:lang w:eastAsia="zh-CN"/>
        </w:rPr>
        <w:t>供应商</w:t>
      </w:r>
      <w:r>
        <w:rPr>
          <w:rFonts w:hint="eastAsia" w:ascii="宋体" w:hAnsi="宋体" w:cs="宋体"/>
          <w:color w:val="auto"/>
          <w:sz w:val="24"/>
          <w:szCs w:val="24"/>
          <w:highlight w:val="none"/>
        </w:rPr>
        <w:t>自</w:t>
      </w:r>
      <w:r>
        <w:rPr>
          <w:rFonts w:ascii="宋体" w:hAnsi="宋体" w:cs="宋体"/>
          <w:color w:val="auto"/>
          <w:sz w:val="24"/>
          <w:szCs w:val="24"/>
          <w:highlight w:val="none"/>
        </w:rPr>
        <w:t>20</w:t>
      </w:r>
      <w:r>
        <w:rPr>
          <w:rFonts w:hint="eastAsia" w:ascii="宋体" w:hAnsi="宋体" w:cs="宋体"/>
          <w:color w:val="auto"/>
          <w:sz w:val="24"/>
          <w:szCs w:val="24"/>
          <w:highlight w:val="none"/>
          <w:lang w:val="en-US" w:eastAsia="zh-CN"/>
        </w:rPr>
        <w:t>23</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月</w:t>
      </w:r>
      <w:r>
        <w:rPr>
          <w:rFonts w:ascii="宋体" w:hAnsi="宋体" w:cs="宋体"/>
          <w:color w:val="auto"/>
          <w:sz w:val="24"/>
          <w:szCs w:val="24"/>
          <w:highlight w:val="none"/>
        </w:rPr>
        <w:t>1</w:t>
      </w:r>
      <w:r>
        <w:rPr>
          <w:rFonts w:hint="eastAsia" w:ascii="宋体" w:hAnsi="宋体" w:cs="宋体"/>
          <w:color w:val="auto"/>
          <w:sz w:val="24"/>
          <w:szCs w:val="24"/>
          <w:highlight w:val="none"/>
        </w:rPr>
        <w:t>日以来，承接过类似</w:t>
      </w:r>
      <w:r>
        <w:rPr>
          <w:rFonts w:hint="eastAsia" w:ascii="宋体" w:hAnsi="宋体" w:cs="宋体"/>
          <w:color w:val="auto"/>
          <w:sz w:val="24"/>
          <w:szCs w:val="24"/>
          <w:highlight w:val="none"/>
          <w:lang w:val="en-US" w:eastAsia="zh-CN"/>
        </w:rPr>
        <w:t>餐饮服务项目的</w:t>
      </w:r>
      <w:r>
        <w:rPr>
          <w:rFonts w:hint="eastAsia" w:ascii="宋体" w:hAnsi="宋体" w:cs="宋体"/>
          <w:color w:val="auto"/>
          <w:sz w:val="24"/>
          <w:szCs w:val="24"/>
          <w:highlight w:val="none"/>
        </w:rPr>
        <w:t>，有</w:t>
      </w:r>
      <w:r>
        <w:rPr>
          <w:rFonts w:ascii="宋体" w:hAnsi="宋体" w:cs="宋体"/>
          <w:color w:val="auto"/>
          <w:sz w:val="24"/>
          <w:szCs w:val="24"/>
          <w:highlight w:val="none"/>
        </w:rPr>
        <w:t>1</w:t>
      </w:r>
      <w:r>
        <w:rPr>
          <w:rFonts w:hint="eastAsia" w:ascii="宋体" w:hAnsi="宋体" w:cs="宋体"/>
          <w:color w:val="auto"/>
          <w:sz w:val="24"/>
          <w:szCs w:val="24"/>
          <w:highlight w:val="none"/>
        </w:rPr>
        <w:t>个得</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分，本项最高得</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分。</w:t>
      </w:r>
      <w:r>
        <w:rPr>
          <w:rFonts w:hint="eastAsia" w:ascii="宋体" w:hAnsi="宋体" w:cs="宋体"/>
          <w:b/>
          <w:bCs/>
          <w:color w:val="auto"/>
          <w:sz w:val="24"/>
          <w:szCs w:val="24"/>
          <w:highlight w:val="none"/>
        </w:rPr>
        <w:t>（业绩时间以合同签订时间为准，</w:t>
      </w:r>
      <w:r>
        <w:rPr>
          <w:rFonts w:hint="eastAsia" w:hAnsi="宋体" w:eastAsia="宋体" w:cs="宋体"/>
          <w:b/>
          <w:bCs w:val="0"/>
          <w:color w:val="auto"/>
          <w:sz w:val="24"/>
          <w:szCs w:val="24"/>
          <w:highlight w:val="none"/>
          <w:lang w:val="en-US" w:eastAsia="zh-CN" w:bidi="ar"/>
        </w:rPr>
        <w:t>提供合同</w:t>
      </w:r>
      <w:r>
        <w:rPr>
          <w:rFonts w:hint="eastAsia" w:hAnsi="宋体" w:cs="宋体"/>
          <w:b/>
          <w:bCs/>
          <w:color w:val="auto"/>
          <w:sz w:val="24"/>
          <w:highlight w:val="none"/>
        </w:rPr>
        <w:t>原件扫描件</w:t>
      </w:r>
      <w:r>
        <w:rPr>
          <w:rFonts w:hint="eastAsia" w:ascii="宋体" w:hAnsi="宋体" w:cs="宋体"/>
          <w:b/>
          <w:bCs/>
          <w:color w:val="auto"/>
          <w:sz w:val="24"/>
          <w:highlight w:val="none"/>
        </w:rPr>
        <w:t>签章</w:t>
      </w:r>
      <w:r>
        <w:rPr>
          <w:rFonts w:hint="eastAsia" w:hAnsi="宋体" w:cs="宋体"/>
          <w:b/>
          <w:bCs/>
          <w:color w:val="auto"/>
          <w:sz w:val="24"/>
          <w:highlight w:val="none"/>
        </w:rPr>
        <w:t>上传至</w:t>
      </w:r>
      <w:r>
        <w:rPr>
          <w:rFonts w:hint="eastAsia" w:ascii="宋体" w:hAnsi="宋体" w:eastAsia="宋体" w:cs="宋体"/>
          <w:b/>
          <w:bCs/>
          <w:color w:val="auto"/>
          <w:sz w:val="24"/>
          <w:szCs w:val="24"/>
          <w:highlight w:val="none"/>
          <w:lang w:val="en-US" w:eastAsia="zh-CN"/>
        </w:rPr>
        <w:t>投标系统</w:t>
      </w:r>
      <w:r>
        <w:rPr>
          <w:rFonts w:hint="eastAsia" w:hAnsi="宋体" w:cs="宋体"/>
          <w:b/>
          <w:bCs/>
          <w:color w:val="auto"/>
          <w:sz w:val="24"/>
          <w:highlight w:val="none"/>
          <w:lang w:eastAsia="zh-CN"/>
        </w:rPr>
        <w:t>，</w:t>
      </w:r>
      <w:r>
        <w:rPr>
          <w:rFonts w:hint="eastAsia" w:hAnsi="宋体" w:cs="宋体"/>
          <w:b/>
          <w:bCs/>
          <w:color w:val="auto"/>
          <w:sz w:val="24"/>
          <w:highlight w:val="none"/>
        </w:rPr>
        <w:t>不提供</w:t>
      </w:r>
      <w:r>
        <w:rPr>
          <w:rFonts w:hint="eastAsia"/>
          <w:b/>
          <w:bCs/>
          <w:color w:val="auto"/>
          <w:sz w:val="24"/>
          <w:szCs w:val="22"/>
          <w:highlight w:val="none"/>
        </w:rPr>
        <w:t>不得分</w:t>
      </w:r>
      <w:r>
        <w:rPr>
          <w:rFonts w:hint="eastAsia" w:ascii="宋体" w:hAnsi="宋体" w:cs="宋体"/>
          <w:b/>
          <w:bCs/>
          <w:color w:val="auto"/>
          <w:sz w:val="24"/>
          <w:szCs w:val="24"/>
          <w:highlight w:val="none"/>
        </w:rPr>
        <w:t>）</w:t>
      </w:r>
      <w:r>
        <w:rPr>
          <w:rFonts w:hint="eastAsia" w:ascii="宋体" w:hAnsi="宋体"/>
          <w:bCs/>
          <w:color w:val="auto"/>
          <w:sz w:val="24"/>
          <w:highlight w:val="none"/>
        </w:rPr>
        <w:t>。</w:t>
      </w:r>
    </w:p>
    <w:p w14:paraId="598C2C20">
      <w:pPr>
        <w:shd w:val="clear" w:color="auto"/>
        <w:spacing w:line="360" w:lineRule="auto"/>
        <w:ind w:firstLine="465"/>
        <w:rPr>
          <w:rFonts w:ascii="宋体" w:hAnsi="宋体" w:cs="宋体"/>
          <w:b/>
          <w:color w:val="auto"/>
          <w:sz w:val="24"/>
          <w:highlight w:val="none"/>
        </w:rPr>
      </w:pPr>
      <w:r>
        <w:rPr>
          <w:rFonts w:hint="eastAsia" w:ascii="宋体" w:hAnsi="宋体" w:cs="宋体"/>
          <w:b/>
          <w:color w:val="auto"/>
          <w:sz w:val="24"/>
          <w:highlight w:val="none"/>
        </w:rPr>
        <w:t>（2）认证证书（2分）：</w:t>
      </w:r>
    </w:p>
    <w:p w14:paraId="532DD6F9">
      <w:pPr>
        <w:shd w:val="clear" w:color="auto"/>
        <w:spacing w:line="360" w:lineRule="auto"/>
        <w:ind w:firstLine="465"/>
        <w:rPr>
          <w:rFonts w:ascii="宋体" w:hAnsi="宋体" w:cs="宋体"/>
          <w:bCs/>
          <w:color w:val="auto"/>
          <w:sz w:val="24"/>
          <w:highlight w:val="none"/>
        </w:rPr>
      </w:pPr>
      <w:r>
        <w:rPr>
          <w:rFonts w:hint="eastAsia" w:ascii="宋体" w:hAnsi="宋体" w:cs="宋体"/>
          <w:bCs/>
          <w:color w:val="auto"/>
          <w:sz w:val="24"/>
          <w:highlight w:val="none"/>
        </w:rPr>
        <w:t>投标供应商具有有效的质量管理体系认证证书、职业健康安全管理体系认证证书、食品安全管理体系认证证书、环境管理体系认证证书，有一个得0.5分，最高得2分。（</w:t>
      </w:r>
      <w:r>
        <w:rPr>
          <w:rFonts w:hint="eastAsia" w:ascii="宋体" w:hAnsi="宋体"/>
          <w:color w:val="auto"/>
          <w:sz w:val="24"/>
          <w:highlight w:val="none"/>
        </w:rPr>
        <w:t>投标时需提供相关证书扫描件，同时还须提供该证书在“国家市场监督管理总局-全国认证认可信息公共服务平台”网站查询到的有效认证截图并加盖</w:t>
      </w:r>
      <w:r>
        <w:rPr>
          <w:rFonts w:hint="eastAsia" w:ascii="宋体" w:hAnsi="宋体"/>
          <w:color w:val="auto"/>
          <w:sz w:val="24"/>
          <w:highlight w:val="none"/>
          <w:lang w:eastAsia="zh-CN"/>
        </w:rPr>
        <w:t>供应商</w:t>
      </w:r>
      <w:r>
        <w:rPr>
          <w:rFonts w:hint="eastAsia" w:ascii="宋体" w:hAnsi="宋体"/>
          <w:color w:val="auto"/>
          <w:sz w:val="24"/>
          <w:highlight w:val="none"/>
        </w:rPr>
        <w:t>公章</w:t>
      </w:r>
      <w:r>
        <w:rPr>
          <w:rFonts w:hint="eastAsia" w:ascii="宋体" w:hAnsi="宋体" w:cs="宋体"/>
          <w:bCs/>
          <w:color w:val="auto"/>
          <w:sz w:val="24"/>
          <w:highlight w:val="none"/>
        </w:rPr>
        <w:t>，否则不得分）</w:t>
      </w:r>
    </w:p>
    <w:p w14:paraId="489652A8">
      <w:pPr>
        <w:shd w:val="clear" w:color="auto"/>
        <w:tabs>
          <w:tab w:val="left" w:pos="945"/>
          <w:tab w:val="left" w:pos="1155"/>
        </w:tabs>
        <w:spacing w:line="360" w:lineRule="auto"/>
        <w:ind w:firstLine="480"/>
        <w:rPr>
          <w:rFonts w:ascii="宋体" w:hAnsi="宋体" w:cs="宋体"/>
          <w:b/>
          <w:color w:val="auto"/>
          <w:sz w:val="24"/>
          <w:highlight w:val="none"/>
        </w:rPr>
      </w:pPr>
      <w:r>
        <w:rPr>
          <w:rFonts w:hint="eastAsia" w:ascii="宋体" w:hAnsi="宋体" w:cs="宋体"/>
          <w:b/>
          <w:color w:val="auto"/>
          <w:sz w:val="24"/>
          <w:highlight w:val="none"/>
        </w:rPr>
        <w:t>（3）</w:t>
      </w:r>
      <w:r>
        <w:rPr>
          <w:rFonts w:hint="eastAsia" w:ascii="宋体" w:hAnsi="宋体" w:cs="宋体"/>
          <w:b/>
          <w:color w:val="auto"/>
          <w:sz w:val="24"/>
          <w:highlight w:val="none"/>
          <w:lang w:val="en-US" w:eastAsia="zh-CN"/>
        </w:rPr>
        <w:t>企业</w:t>
      </w:r>
      <w:r>
        <w:rPr>
          <w:rFonts w:hint="eastAsia" w:ascii="宋体" w:hAnsi="宋体" w:cs="宋体"/>
          <w:b/>
          <w:color w:val="auto"/>
          <w:sz w:val="24"/>
          <w:highlight w:val="none"/>
        </w:rPr>
        <w:t>荣誉（1分）：</w:t>
      </w:r>
    </w:p>
    <w:p w14:paraId="16CF33AC">
      <w:pPr>
        <w:shd w:val="clear" w:color="auto"/>
        <w:spacing w:line="360" w:lineRule="auto"/>
        <w:ind w:firstLine="480"/>
        <w:rPr>
          <w:rFonts w:hint="eastAsia" w:ascii="宋体" w:hAnsi="宋体"/>
          <w:bCs/>
          <w:color w:val="auto"/>
          <w:sz w:val="24"/>
          <w:highlight w:val="none"/>
          <w:lang w:eastAsia="zh-CN"/>
        </w:rPr>
      </w:pPr>
      <w:r>
        <w:rPr>
          <w:rFonts w:hint="eastAsia" w:ascii="宋体" w:hAnsi="宋体"/>
          <w:bCs/>
          <w:color w:val="auto"/>
          <w:sz w:val="24"/>
          <w:highlight w:val="none"/>
          <w:lang w:eastAsia="zh-CN"/>
        </w:rPr>
        <w:t>供应商自2023年</w:t>
      </w:r>
      <w:r>
        <w:rPr>
          <w:rFonts w:hint="eastAsia" w:ascii="宋体" w:hAnsi="宋体" w:cs="宋体"/>
          <w:color w:val="auto"/>
          <w:sz w:val="24"/>
          <w:highlight w:val="none"/>
        </w:rPr>
        <w:t>1月</w:t>
      </w:r>
      <w:r>
        <w:rPr>
          <w:rFonts w:hint="eastAsia" w:ascii="宋体" w:hAnsi="宋体"/>
          <w:bCs/>
          <w:color w:val="auto"/>
          <w:sz w:val="24"/>
          <w:highlight w:val="none"/>
          <w:lang w:eastAsia="zh-CN"/>
        </w:rPr>
        <w:t>以来，获得</w:t>
      </w:r>
      <w:r>
        <w:rPr>
          <w:rFonts w:hint="eastAsia" w:ascii="宋体" w:hAnsi="宋体" w:cs="仿宋"/>
          <w:color w:val="auto"/>
          <w:sz w:val="24"/>
          <w:highlight w:val="none"/>
        </w:rPr>
        <w:t>过</w:t>
      </w:r>
      <w:r>
        <w:rPr>
          <w:rFonts w:hint="eastAsia" w:ascii="宋体" w:hAnsi="宋体"/>
          <w:bCs/>
          <w:color w:val="auto"/>
          <w:sz w:val="24"/>
          <w:highlight w:val="none"/>
          <w:lang w:eastAsia="zh-CN"/>
        </w:rPr>
        <w:t>市级及以上行政部门颁发的餐饮类</w:t>
      </w:r>
      <w:r>
        <w:rPr>
          <w:rFonts w:hint="eastAsia" w:ascii="宋体" w:hAnsi="宋体" w:cs="仿宋"/>
          <w:color w:val="auto"/>
          <w:sz w:val="24"/>
          <w:highlight w:val="none"/>
        </w:rPr>
        <w:t>表彰</w:t>
      </w:r>
      <w:r>
        <w:rPr>
          <w:rFonts w:hint="eastAsia" w:ascii="宋体" w:hAnsi="宋体"/>
          <w:bCs/>
          <w:color w:val="auto"/>
          <w:sz w:val="24"/>
          <w:highlight w:val="none"/>
          <w:lang w:eastAsia="zh-CN"/>
        </w:rPr>
        <w:t>、奖项</w:t>
      </w:r>
      <w:r>
        <w:rPr>
          <w:rFonts w:hint="eastAsia" w:ascii="宋体" w:hAnsi="宋体" w:cs="仿宋"/>
          <w:color w:val="auto"/>
          <w:sz w:val="24"/>
          <w:highlight w:val="none"/>
        </w:rPr>
        <w:t>等荣誉的</w:t>
      </w:r>
      <w:r>
        <w:rPr>
          <w:rFonts w:hint="eastAsia" w:ascii="宋体" w:hAnsi="宋体" w:cs="仿宋"/>
          <w:color w:val="auto"/>
          <w:sz w:val="24"/>
          <w:highlight w:val="none"/>
          <w:lang w:eastAsia="zh-CN"/>
        </w:rPr>
        <w:t>，</w:t>
      </w:r>
      <w:r>
        <w:rPr>
          <w:rFonts w:hint="eastAsia" w:ascii="宋体" w:hAnsi="宋体" w:cs="宋体"/>
          <w:bCs/>
          <w:color w:val="auto"/>
          <w:sz w:val="24"/>
          <w:highlight w:val="none"/>
        </w:rPr>
        <w:t>有一个得</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分，最高得</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分</w:t>
      </w:r>
      <w:r>
        <w:rPr>
          <w:rFonts w:hint="eastAsia" w:ascii="宋体" w:hAnsi="宋体"/>
          <w:bCs/>
          <w:color w:val="auto"/>
          <w:sz w:val="24"/>
          <w:highlight w:val="none"/>
          <w:lang w:eastAsia="zh-CN"/>
        </w:rPr>
        <w:t>（投标时需提供表彰、奖项等荣誉的原件扫描件并加盖投标供应商公章上传至投标系统中；未按要求提供的不得分。）</w:t>
      </w:r>
    </w:p>
    <w:p w14:paraId="334635D0">
      <w:pPr>
        <w:shd w:val="clear" w:color="auto"/>
        <w:spacing w:line="360" w:lineRule="auto"/>
        <w:ind w:firstLine="465"/>
        <w:rPr>
          <w:rFonts w:ascii="宋体" w:hAnsi="宋体" w:cs="宋体"/>
          <w:b/>
          <w:color w:val="auto"/>
          <w:sz w:val="24"/>
          <w:highlight w:val="none"/>
        </w:rPr>
      </w:pPr>
      <w:r>
        <w:rPr>
          <w:rFonts w:hint="eastAsia" w:ascii="宋体" w:hAnsi="宋体" w:cs="宋体"/>
          <w:b/>
          <w:color w:val="auto"/>
          <w:sz w:val="24"/>
          <w:highlight w:val="none"/>
        </w:rPr>
        <w:t>（</w:t>
      </w:r>
      <w:r>
        <w:rPr>
          <w:rFonts w:hint="eastAsia" w:ascii="宋体" w:hAnsi="宋体" w:cs="宋体"/>
          <w:b/>
          <w:color w:val="auto"/>
          <w:sz w:val="24"/>
          <w:highlight w:val="none"/>
          <w:lang w:val="en-US" w:eastAsia="zh-CN"/>
        </w:rPr>
        <w:t>4</w:t>
      </w:r>
      <w:r>
        <w:rPr>
          <w:rFonts w:hint="eastAsia" w:ascii="宋体" w:hAnsi="宋体" w:cs="宋体"/>
          <w:b/>
          <w:color w:val="auto"/>
          <w:sz w:val="24"/>
          <w:highlight w:val="none"/>
        </w:rPr>
        <w:t>）人员配备（1</w:t>
      </w:r>
      <w:r>
        <w:rPr>
          <w:rFonts w:hint="eastAsia" w:ascii="宋体" w:hAnsi="宋体" w:cs="宋体"/>
          <w:b/>
          <w:color w:val="auto"/>
          <w:sz w:val="24"/>
          <w:highlight w:val="none"/>
          <w:lang w:val="en-US" w:eastAsia="zh-CN"/>
        </w:rPr>
        <w:t>4</w:t>
      </w:r>
      <w:r>
        <w:rPr>
          <w:rFonts w:hint="eastAsia" w:ascii="宋体" w:hAnsi="宋体" w:cs="宋体"/>
          <w:b/>
          <w:color w:val="auto"/>
          <w:sz w:val="24"/>
          <w:highlight w:val="none"/>
        </w:rPr>
        <w:t>分）：拟派人员年龄为周岁，开标当天日期为计算依据。</w:t>
      </w:r>
    </w:p>
    <w:p w14:paraId="63BA3DB2">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1.项目经理(</w:t>
      </w:r>
      <w:r>
        <w:rPr>
          <w:rFonts w:hint="eastAsia" w:ascii="宋体" w:hAnsi="宋体" w:cs="仿宋_GB2312"/>
          <w:bCs/>
          <w:color w:val="auto"/>
          <w:sz w:val="24"/>
          <w:szCs w:val="24"/>
          <w:highlight w:val="none"/>
          <w:lang w:val="en-US" w:eastAsia="zh-CN"/>
        </w:rPr>
        <w:t>3</w:t>
      </w:r>
      <w:r>
        <w:rPr>
          <w:rFonts w:hint="eastAsia" w:ascii="宋体" w:hAnsi="宋体" w:cs="仿宋_GB2312"/>
          <w:bCs/>
          <w:color w:val="auto"/>
          <w:sz w:val="24"/>
          <w:szCs w:val="24"/>
          <w:highlight w:val="none"/>
        </w:rPr>
        <w:t>分):拟派的项目负责人，年龄45周岁</w:t>
      </w:r>
      <w:r>
        <w:rPr>
          <w:rFonts w:hint="eastAsia" w:ascii="宋体" w:hAnsi="宋体"/>
          <w:bCs/>
          <w:color w:val="auto"/>
          <w:sz w:val="24"/>
          <w:highlight w:val="none"/>
        </w:rPr>
        <w:t>（含）</w:t>
      </w:r>
      <w:r>
        <w:rPr>
          <w:rFonts w:hint="eastAsia" w:ascii="宋体" w:hAnsi="宋体" w:cs="仿宋_GB2312"/>
          <w:bCs/>
          <w:color w:val="auto"/>
          <w:sz w:val="24"/>
          <w:szCs w:val="24"/>
          <w:highlight w:val="none"/>
        </w:rPr>
        <w:t>以下，得1分；大专</w:t>
      </w:r>
      <w:r>
        <w:rPr>
          <w:rFonts w:hint="eastAsia" w:ascii="宋体" w:hAnsi="宋体" w:cs="仿宋_GB2312"/>
          <w:bCs/>
          <w:color w:val="auto"/>
          <w:sz w:val="24"/>
          <w:szCs w:val="24"/>
          <w:highlight w:val="none"/>
          <w:lang w:val="en-US" w:eastAsia="zh-CN"/>
        </w:rPr>
        <w:t>（含）</w:t>
      </w:r>
      <w:r>
        <w:rPr>
          <w:rFonts w:hint="eastAsia" w:ascii="宋体" w:hAnsi="宋体" w:cs="仿宋_GB2312"/>
          <w:bCs/>
          <w:color w:val="auto"/>
          <w:sz w:val="24"/>
          <w:szCs w:val="24"/>
          <w:highlight w:val="none"/>
        </w:rPr>
        <w:t>以上学历，得</w:t>
      </w:r>
      <w:r>
        <w:rPr>
          <w:rFonts w:hint="eastAsia" w:ascii="宋体" w:hAnsi="宋体" w:cs="仿宋_GB2312"/>
          <w:bCs/>
          <w:color w:val="auto"/>
          <w:sz w:val="24"/>
          <w:szCs w:val="24"/>
          <w:highlight w:val="none"/>
          <w:lang w:val="en-US" w:eastAsia="zh-CN"/>
        </w:rPr>
        <w:t>1</w:t>
      </w:r>
      <w:r>
        <w:rPr>
          <w:rFonts w:hint="eastAsia" w:ascii="宋体" w:hAnsi="宋体" w:cs="仿宋_GB2312"/>
          <w:bCs/>
          <w:color w:val="auto"/>
          <w:sz w:val="24"/>
          <w:szCs w:val="24"/>
          <w:highlight w:val="none"/>
        </w:rPr>
        <w:t>分；具有</w:t>
      </w:r>
      <w:r>
        <w:rPr>
          <w:rFonts w:hint="eastAsia" w:ascii="宋体" w:hAnsi="宋体" w:cs="宋体"/>
          <w:color w:val="auto"/>
          <w:sz w:val="24"/>
          <w:szCs w:val="24"/>
          <w:highlight w:val="none"/>
          <w:lang w:val="en-US" w:eastAsia="zh-CN"/>
        </w:rPr>
        <w:t>食品安全管理员证书</w:t>
      </w:r>
      <w:r>
        <w:rPr>
          <w:rFonts w:hint="eastAsia" w:ascii="宋体" w:hAnsi="宋体" w:cs="仿宋_GB2312"/>
          <w:bCs/>
          <w:color w:val="auto"/>
          <w:sz w:val="24"/>
          <w:szCs w:val="24"/>
          <w:highlight w:val="none"/>
        </w:rPr>
        <w:t>，得</w:t>
      </w:r>
      <w:r>
        <w:rPr>
          <w:rFonts w:hint="eastAsia" w:ascii="宋体" w:hAnsi="宋体" w:cs="仿宋_GB2312"/>
          <w:bCs/>
          <w:color w:val="auto"/>
          <w:sz w:val="24"/>
          <w:szCs w:val="24"/>
          <w:highlight w:val="none"/>
          <w:lang w:val="en-US" w:eastAsia="zh-CN"/>
        </w:rPr>
        <w:t>1</w:t>
      </w:r>
      <w:r>
        <w:rPr>
          <w:rFonts w:hint="eastAsia" w:ascii="宋体" w:hAnsi="宋体" w:cs="仿宋_GB2312"/>
          <w:bCs/>
          <w:color w:val="auto"/>
          <w:sz w:val="24"/>
          <w:szCs w:val="24"/>
          <w:highlight w:val="none"/>
        </w:rPr>
        <w:t>分；本项最</w:t>
      </w:r>
      <w:r>
        <w:rPr>
          <w:rFonts w:hint="eastAsia" w:ascii="宋体" w:hAnsi="宋体" w:cs="仿宋_GB2312"/>
          <w:bCs/>
          <w:color w:val="auto"/>
          <w:sz w:val="24"/>
          <w:szCs w:val="24"/>
          <w:highlight w:val="none"/>
          <w:lang w:val="en-US" w:eastAsia="zh-CN"/>
        </w:rPr>
        <w:t>高得3</w:t>
      </w:r>
      <w:r>
        <w:rPr>
          <w:rFonts w:hint="eastAsia" w:ascii="宋体" w:hAnsi="宋体" w:cs="仿宋_GB2312"/>
          <w:bCs/>
          <w:color w:val="auto"/>
          <w:sz w:val="24"/>
          <w:szCs w:val="24"/>
          <w:highlight w:val="none"/>
        </w:rPr>
        <w:t>分。</w:t>
      </w:r>
    </w:p>
    <w:p w14:paraId="55E17C49">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2.厨师长要求(</w:t>
      </w:r>
      <w:r>
        <w:rPr>
          <w:rFonts w:hint="eastAsia" w:ascii="宋体" w:hAnsi="宋体" w:cs="仿宋_GB2312"/>
          <w:bCs/>
          <w:color w:val="auto"/>
          <w:sz w:val="24"/>
          <w:szCs w:val="24"/>
          <w:highlight w:val="none"/>
          <w:lang w:val="en-US" w:eastAsia="zh-CN"/>
        </w:rPr>
        <w:t>3</w:t>
      </w:r>
      <w:r>
        <w:rPr>
          <w:rFonts w:hint="eastAsia" w:ascii="宋体" w:hAnsi="宋体" w:cs="仿宋_GB2312"/>
          <w:bCs/>
          <w:color w:val="auto"/>
          <w:sz w:val="24"/>
          <w:szCs w:val="24"/>
          <w:highlight w:val="none"/>
        </w:rPr>
        <w:t>分):拟派的厨师长，年龄45周岁</w:t>
      </w:r>
      <w:r>
        <w:rPr>
          <w:rFonts w:hint="eastAsia" w:ascii="宋体" w:hAnsi="宋体"/>
          <w:bCs/>
          <w:color w:val="auto"/>
          <w:sz w:val="24"/>
          <w:highlight w:val="none"/>
        </w:rPr>
        <w:t>（含）</w:t>
      </w:r>
      <w:r>
        <w:rPr>
          <w:rFonts w:hint="eastAsia" w:ascii="宋体" w:hAnsi="宋体" w:cs="仿宋_GB2312"/>
          <w:bCs/>
          <w:color w:val="auto"/>
          <w:sz w:val="24"/>
          <w:szCs w:val="24"/>
          <w:highlight w:val="none"/>
        </w:rPr>
        <w:t>以下，得1分；具有</w:t>
      </w:r>
      <w:r>
        <w:rPr>
          <w:rFonts w:hint="eastAsia" w:ascii="宋体" w:hAnsi="宋体" w:eastAsia="宋体" w:cs="宋体"/>
          <w:bCs/>
          <w:color w:val="auto"/>
          <w:sz w:val="24"/>
          <w:szCs w:val="24"/>
          <w:highlight w:val="none"/>
          <w:lang w:val="en-US" w:eastAsia="zh-CN" w:bidi="ar"/>
        </w:rPr>
        <w:t>一级（或高级技师）及以上</w:t>
      </w:r>
      <w:r>
        <w:rPr>
          <w:rFonts w:hint="eastAsia" w:ascii="宋体" w:hAnsi="宋体" w:cs="宋体"/>
          <w:bCs/>
          <w:color w:val="auto"/>
          <w:sz w:val="24"/>
          <w:szCs w:val="24"/>
          <w:highlight w:val="none"/>
          <w:lang w:val="en-US" w:eastAsia="zh-CN" w:bidi="ar"/>
        </w:rPr>
        <w:t>中式烹调师</w:t>
      </w:r>
      <w:r>
        <w:rPr>
          <w:rFonts w:hint="eastAsia" w:ascii="宋体" w:hAnsi="宋体" w:eastAsia="宋体" w:cs="宋体"/>
          <w:bCs/>
          <w:color w:val="auto"/>
          <w:sz w:val="24"/>
          <w:szCs w:val="24"/>
          <w:highlight w:val="none"/>
          <w:lang w:val="en-US" w:eastAsia="zh-CN" w:bidi="ar"/>
        </w:rPr>
        <w:t>厨师资格证书的</w:t>
      </w:r>
      <w:r>
        <w:rPr>
          <w:rFonts w:hint="eastAsia" w:ascii="宋体" w:hAnsi="宋体" w:cs="仿宋_GB2312"/>
          <w:bCs/>
          <w:color w:val="auto"/>
          <w:sz w:val="24"/>
          <w:szCs w:val="24"/>
          <w:highlight w:val="none"/>
        </w:rPr>
        <w:t>，得</w:t>
      </w:r>
      <w:r>
        <w:rPr>
          <w:rFonts w:hint="eastAsia" w:ascii="宋体" w:hAnsi="宋体" w:cs="仿宋_GB2312"/>
          <w:bCs/>
          <w:color w:val="auto"/>
          <w:sz w:val="24"/>
          <w:szCs w:val="24"/>
          <w:highlight w:val="none"/>
          <w:lang w:val="en-US" w:eastAsia="zh-CN"/>
        </w:rPr>
        <w:t>2</w:t>
      </w:r>
      <w:r>
        <w:rPr>
          <w:rFonts w:hint="eastAsia" w:ascii="宋体" w:hAnsi="宋体" w:cs="仿宋_GB2312"/>
          <w:bCs/>
          <w:color w:val="auto"/>
          <w:sz w:val="24"/>
          <w:szCs w:val="24"/>
          <w:highlight w:val="none"/>
        </w:rPr>
        <w:t>分，本项最高得</w:t>
      </w:r>
      <w:r>
        <w:rPr>
          <w:rFonts w:hint="eastAsia" w:ascii="宋体" w:hAnsi="宋体" w:cs="仿宋_GB2312"/>
          <w:bCs/>
          <w:color w:val="auto"/>
          <w:sz w:val="24"/>
          <w:szCs w:val="24"/>
          <w:highlight w:val="none"/>
          <w:lang w:val="en-US" w:eastAsia="zh-CN"/>
        </w:rPr>
        <w:t>3</w:t>
      </w:r>
      <w:r>
        <w:rPr>
          <w:rFonts w:hint="eastAsia" w:ascii="宋体" w:hAnsi="宋体" w:cs="仿宋_GB2312"/>
          <w:bCs/>
          <w:color w:val="auto"/>
          <w:sz w:val="24"/>
          <w:szCs w:val="24"/>
          <w:highlight w:val="none"/>
        </w:rPr>
        <w:t>分。</w:t>
      </w:r>
    </w:p>
    <w:p w14:paraId="4E20AAC8">
      <w:pPr>
        <w:spacing w:line="360" w:lineRule="auto"/>
        <w:ind w:firstLine="480" w:firstLineChars="200"/>
        <w:rPr>
          <w:rFonts w:hint="eastAsia" w:ascii="宋体" w:hAnsi="宋体" w:cs="仿宋_GB2312"/>
          <w:bCs/>
          <w:color w:val="auto"/>
          <w:sz w:val="24"/>
          <w:szCs w:val="24"/>
          <w:highlight w:val="none"/>
        </w:rPr>
      </w:pPr>
      <w:r>
        <w:rPr>
          <w:rFonts w:hint="eastAsia" w:ascii="宋体" w:hAnsi="宋体" w:cs="仿宋_GB2312"/>
          <w:bCs/>
          <w:color w:val="auto"/>
          <w:sz w:val="24"/>
          <w:szCs w:val="24"/>
          <w:highlight w:val="none"/>
        </w:rPr>
        <w:t>3.厨师要求(</w:t>
      </w:r>
      <w:r>
        <w:rPr>
          <w:rFonts w:hint="eastAsia" w:ascii="宋体" w:hAnsi="宋体" w:cs="仿宋_GB2312"/>
          <w:bCs/>
          <w:color w:val="auto"/>
          <w:sz w:val="24"/>
          <w:szCs w:val="24"/>
          <w:highlight w:val="none"/>
          <w:lang w:val="en-US" w:eastAsia="zh-CN"/>
        </w:rPr>
        <w:t>2</w:t>
      </w:r>
      <w:r>
        <w:rPr>
          <w:rFonts w:hint="eastAsia" w:ascii="宋体" w:hAnsi="宋体" w:cs="仿宋_GB2312"/>
          <w:bCs/>
          <w:color w:val="auto"/>
          <w:sz w:val="24"/>
          <w:szCs w:val="24"/>
          <w:highlight w:val="none"/>
        </w:rPr>
        <w:t>分):投标人所配置的厨师，具有二级</w:t>
      </w:r>
      <w:r>
        <w:rPr>
          <w:rFonts w:hint="eastAsia" w:ascii="宋体" w:hAnsi="宋体" w:cs="仿宋_GB2312"/>
          <w:bCs/>
          <w:color w:val="auto"/>
          <w:sz w:val="24"/>
          <w:szCs w:val="24"/>
          <w:highlight w:val="none"/>
          <w:lang w:eastAsia="zh-CN"/>
        </w:rPr>
        <w:t>（</w:t>
      </w:r>
      <w:r>
        <w:rPr>
          <w:rFonts w:hint="eastAsia" w:ascii="宋体" w:hAnsi="宋体" w:cs="仿宋_GB2312"/>
          <w:bCs/>
          <w:color w:val="auto"/>
          <w:sz w:val="24"/>
          <w:szCs w:val="24"/>
          <w:highlight w:val="none"/>
          <w:lang w:val="en-US" w:eastAsia="zh-CN"/>
        </w:rPr>
        <w:t>含</w:t>
      </w:r>
      <w:r>
        <w:rPr>
          <w:rFonts w:hint="eastAsia" w:ascii="宋体" w:hAnsi="宋体" w:cs="仿宋_GB2312"/>
          <w:bCs/>
          <w:color w:val="auto"/>
          <w:sz w:val="24"/>
          <w:szCs w:val="24"/>
          <w:highlight w:val="none"/>
          <w:lang w:eastAsia="zh-CN"/>
        </w:rPr>
        <w:t>）</w:t>
      </w:r>
      <w:r>
        <w:rPr>
          <w:rFonts w:hint="eastAsia" w:ascii="宋体" w:hAnsi="宋体" w:cs="仿宋_GB2312"/>
          <w:bCs/>
          <w:color w:val="auto"/>
          <w:sz w:val="24"/>
          <w:szCs w:val="24"/>
          <w:highlight w:val="none"/>
        </w:rPr>
        <w:t>以上中式烹调师厨师资格证书的，</w:t>
      </w:r>
      <w:r>
        <w:rPr>
          <w:rFonts w:hint="eastAsia" w:ascii="宋体" w:hAnsi="宋体" w:cs="仿宋_GB2312"/>
          <w:bCs/>
          <w:color w:val="auto"/>
          <w:sz w:val="24"/>
          <w:szCs w:val="24"/>
          <w:highlight w:val="none"/>
          <w:lang w:val="en-US" w:eastAsia="zh-CN"/>
        </w:rPr>
        <w:t>有1人</w:t>
      </w:r>
      <w:r>
        <w:rPr>
          <w:rFonts w:hint="eastAsia" w:ascii="宋体" w:hAnsi="宋体" w:cs="仿宋_GB2312"/>
          <w:bCs/>
          <w:color w:val="auto"/>
          <w:sz w:val="24"/>
          <w:szCs w:val="24"/>
          <w:highlight w:val="none"/>
        </w:rPr>
        <w:t>得</w:t>
      </w:r>
      <w:r>
        <w:rPr>
          <w:rFonts w:hint="eastAsia" w:ascii="宋体" w:hAnsi="宋体" w:cs="仿宋_GB2312"/>
          <w:bCs/>
          <w:color w:val="auto"/>
          <w:sz w:val="24"/>
          <w:szCs w:val="24"/>
          <w:highlight w:val="none"/>
          <w:lang w:val="en-US" w:eastAsia="zh-CN"/>
        </w:rPr>
        <w:t>1</w:t>
      </w:r>
      <w:r>
        <w:rPr>
          <w:rFonts w:hint="eastAsia" w:ascii="宋体" w:hAnsi="宋体" w:cs="仿宋_GB2312"/>
          <w:bCs/>
          <w:color w:val="auto"/>
          <w:sz w:val="24"/>
          <w:szCs w:val="24"/>
          <w:highlight w:val="none"/>
        </w:rPr>
        <w:t>分</w:t>
      </w:r>
      <w:r>
        <w:rPr>
          <w:rFonts w:hint="eastAsia" w:ascii="宋体" w:hAnsi="宋体" w:cs="仿宋_GB2312"/>
          <w:bCs/>
          <w:color w:val="auto"/>
          <w:sz w:val="24"/>
          <w:szCs w:val="24"/>
          <w:highlight w:val="none"/>
          <w:lang w:eastAsia="zh-CN"/>
        </w:rPr>
        <w:t>；</w:t>
      </w:r>
      <w:r>
        <w:rPr>
          <w:rFonts w:hint="eastAsia" w:ascii="宋体" w:hAnsi="宋体" w:cs="仿宋_GB2312"/>
          <w:bCs/>
          <w:color w:val="auto"/>
          <w:sz w:val="24"/>
          <w:szCs w:val="24"/>
          <w:highlight w:val="none"/>
        </w:rPr>
        <w:t>具有</w:t>
      </w:r>
      <w:r>
        <w:rPr>
          <w:rFonts w:hint="eastAsia" w:ascii="宋体" w:hAnsi="宋体" w:cs="仿宋_GB2312"/>
          <w:bCs/>
          <w:color w:val="auto"/>
          <w:sz w:val="24"/>
          <w:szCs w:val="24"/>
          <w:highlight w:val="none"/>
          <w:lang w:val="en-US" w:eastAsia="zh-CN"/>
        </w:rPr>
        <w:t>三</w:t>
      </w:r>
      <w:r>
        <w:rPr>
          <w:rFonts w:hint="eastAsia" w:ascii="宋体" w:hAnsi="宋体" w:cs="仿宋_GB2312"/>
          <w:bCs/>
          <w:color w:val="auto"/>
          <w:sz w:val="24"/>
          <w:szCs w:val="24"/>
          <w:highlight w:val="none"/>
        </w:rPr>
        <w:t>级</w:t>
      </w:r>
      <w:r>
        <w:rPr>
          <w:rFonts w:hint="eastAsia" w:ascii="宋体" w:hAnsi="宋体" w:cs="仿宋_GB2312"/>
          <w:bCs/>
          <w:color w:val="auto"/>
          <w:sz w:val="24"/>
          <w:szCs w:val="24"/>
          <w:highlight w:val="none"/>
          <w:lang w:eastAsia="zh-CN"/>
        </w:rPr>
        <w:t>（</w:t>
      </w:r>
      <w:r>
        <w:rPr>
          <w:rFonts w:hint="eastAsia" w:ascii="宋体" w:hAnsi="宋体" w:cs="仿宋_GB2312"/>
          <w:bCs/>
          <w:color w:val="auto"/>
          <w:sz w:val="24"/>
          <w:szCs w:val="24"/>
          <w:highlight w:val="none"/>
          <w:lang w:val="en-US" w:eastAsia="zh-CN"/>
        </w:rPr>
        <w:t>含</w:t>
      </w:r>
      <w:r>
        <w:rPr>
          <w:rFonts w:hint="eastAsia" w:ascii="宋体" w:hAnsi="宋体" w:cs="仿宋_GB2312"/>
          <w:bCs/>
          <w:color w:val="auto"/>
          <w:sz w:val="24"/>
          <w:szCs w:val="24"/>
          <w:highlight w:val="none"/>
          <w:lang w:eastAsia="zh-CN"/>
        </w:rPr>
        <w:t>）</w:t>
      </w:r>
      <w:r>
        <w:rPr>
          <w:rFonts w:hint="eastAsia" w:ascii="宋体" w:hAnsi="宋体" w:cs="仿宋_GB2312"/>
          <w:bCs/>
          <w:color w:val="auto"/>
          <w:sz w:val="24"/>
          <w:szCs w:val="24"/>
          <w:highlight w:val="none"/>
        </w:rPr>
        <w:t>以上中式烹调师厨师资格证书的，</w:t>
      </w:r>
      <w:r>
        <w:rPr>
          <w:rFonts w:hint="eastAsia" w:ascii="宋体" w:hAnsi="宋体" w:cs="仿宋_GB2312"/>
          <w:bCs/>
          <w:color w:val="auto"/>
          <w:sz w:val="24"/>
          <w:szCs w:val="24"/>
          <w:highlight w:val="none"/>
          <w:lang w:val="en-US" w:eastAsia="zh-CN"/>
        </w:rPr>
        <w:t>有1人</w:t>
      </w:r>
      <w:r>
        <w:rPr>
          <w:rFonts w:hint="eastAsia" w:ascii="宋体" w:hAnsi="宋体" w:cs="仿宋_GB2312"/>
          <w:bCs/>
          <w:color w:val="auto"/>
          <w:sz w:val="24"/>
          <w:szCs w:val="24"/>
          <w:highlight w:val="none"/>
        </w:rPr>
        <w:t>得</w:t>
      </w:r>
      <w:r>
        <w:rPr>
          <w:rFonts w:hint="eastAsia" w:ascii="宋体" w:hAnsi="宋体" w:cs="仿宋_GB2312"/>
          <w:bCs/>
          <w:color w:val="auto"/>
          <w:sz w:val="24"/>
          <w:szCs w:val="24"/>
          <w:highlight w:val="none"/>
          <w:lang w:val="en-US" w:eastAsia="zh-CN"/>
        </w:rPr>
        <w:t>0.5</w:t>
      </w:r>
      <w:r>
        <w:rPr>
          <w:rFonts w:hint="eastAsia" w:ascii="宋体" w:hAnsi="宋体" w:cs="仿宋_GB2312"/>
          <w:bCs/>
          <w:color w:val="auto"/>
          <w:sz w:val="24"/>
          <w:szCs w:val="24"/>
          <w:highlight w:val="none"/>
        </w:rPr>
        <w:t>分</w:t>
      </w:r>
      <w:r>
        <w:rPr>
          <w:rFonts w:hint="eastAsia" w:ascii="宋体" w:hAnsi="宋体" w:cs="仿宋_GB2312"/>
          <w:bCs/>
          <w:color w:val="auto"/>
          <w:sz w:val="24"/>
          <w:szCs w:val="24"/>
          <w:highlight w:val="none"/>
          <w:lang w:eastAsia="zh-CN"/>
        </w:rPr>
        <w:t>。</w:t>
      </w:r>
      <w:r>
        <w:rPr>
          <w:rFonts w:hint="eastAsia" w:ascii="宋体" w:hAnsi="宋体" w:cs="宋体"/>
          <w:b w:val="0"/>
          <w:bCs w:val="0"/>
          <w:color w:val="auto"/>
          <w:sz w:val="24"/>
          <w:szCs w:val="24"/>
          <w:highlight w:val="none"/>
          <w:lang w:val="en-US" w:eastAsia="zh-CN"/>
        </w:rPr>
        <w:t>限评2张证书，</w:t>
      </w:r>
      <w:r>
        <w:rPr>
          <w:rFonts w:hint="eastAsia" w:ascii="宋体" w:hAnsi="宋体" w:cs="仿宋_GB2312"/>
          <w:bCs/>
          <w:color w:val="auto"/>
          <w:sz w:val="24"/>
          <w:szCs w:val="24"/>
          <w:highlight w:val="none"/>
        </w:rPr>
        <w:t>本项最</w:t>
      </w:r>
      <w:r>
        <w:rPr>
          <w:rFonts w:hint="eastAsia" w:ascii="宋体" w:hAnsi="宋体" w:cs="仿宋_GB2312"/>
          <w:bCs/>
          <w:color w:val="auto"/>
          <w:sz w:val="24"/>
          <w:szCs w:val="24"/>
          <w:highlight w:val="none"/>
          <w:lang w:val="en-US" w:eastAsia="zh-CN"/>
        </w:rPr>
        <w:t>高</w:t>
      </w:r>
      <w:r>
        <w:rPr>
          <w:rFonts w:hint="eastAsia" w:ascii="宋体" w:hAnsi="宋体" w:cs="仿宋_GB2312"/>
          <w:bCs/>
          <w:color w:val="auto"/>
          <w:sz w:val="24"/>
          <w:szCs w:val="24"/>
          <w:highlight w:val="none"/>
        </w:rPr>
        <w:t>得</w:t>
      </w:r>
      <w:r>
        <w:rPr>
          <w:rFonts w:hint="eastAsia" w:ascii="宋体" w:hAnsi="宋体" w:cs="仿宋_GB2312"/>
          <w:bCs/>
          <w:color w:val="auto"/>
          <w:sz w:val="24"/>
          <w:szCs w:val="24"/>
          <w:highlight w:val="none"/>
          <w:lang w:val="en-US" w:eastAsia="zh-CN"/>
        </w:rPr>
        <w:t>2</w:t>
      </w:r>
      <w:r>
        <w:rPr>
          <w:rFonts w:hint="eastAsia" w:ascii="宋体" w:hAnsi="宋体" w:cs="仿宋_GB2312"/>
          <w:bCs/>
          <w:color w:val="auto"/>
          <w:sz w:val="24"/>
          <w:szCs w:val="24"/>
          <w:highlight w:val="none"/>
        </w:rPr>
        <w:t>分。</w:t>
      </w:r>
    </w:p>
    <w:p w14:paraId="3D189187">
      <w:pPr>
        <w:spacing w:line="360" w:lineRule="auto"/>
        <w:ind w:firstLine="480" w:firstLineChars="20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4.点心师要求(3分):拟配备的点心师，持有三级</w:t>
      </w:r>
      <w:r>
        <w:rPr>
          <w:rFonts w:hint="eastAsia" w:asciiTheme="minorEastAsia" w:hAnsiTheme="minorEastAsia"/>
          <w:color w:val="auto"/>
          <w:sz w:val="24"/>
          <w:szCs w:val="24"/>
          <w:highlight w:val="none"/>
          <w:lang w:val="en-US" w:eastAsia="zh-CN"/>
        </w:rPr>
        <w:t>及以上</w:t>
      </w:r>
      <w:r>
        <w:rPr>
          <w:rFonts w:hint="eastAsia" w:asciiTheme="minorEastAsia" w:hAnsiTheme="minorEastAsia"/>
          <w:color w:val="auto"/>
          <w:sz w:val="24"/>
          <w:szCs w:val="24"/>
          <w:highlight w:val="none"/>
        </w:rPr>
        <w:t>中式面点师证书的得1分</w:t>
      </w:r>
      <w:r>
        <w:rPr>
          <w:rFonts w:hint="eastAsia" w:asciiTheme="minorEastAsia" w:hAnsiTheme="minorEastAsia"/>
          <w:color w:val="auto"/>
          <w:sz w:val="24"/>
          <w:szCs w:val="24"/>
          <w:highlight w:val="none"/>
          <w:lang w:eastAsia="zh-CN"/>
        </w:rPr>
        <w:t>，</w:t>
      </w:r>
      <w:r>
        <w:rPr>
          <w:rFonts w:hint="eastAsia" w:ascii="宋体" w:hAnsi="宋体" w:cs="宋体"/>
          <w:b w:val="0"/>
          <w:bCs w:val="0"/>
          <w:color w:val="auto"/>
          <w:sz w:val="24"/>
          <w:szCs w:val="24"/>
          <w:highlight w:val="none"/>
          <w:lang w:val="en-US" w:eastAsia="zh-CN"/>
        </w:rPr>
        <w:t>限评2张证书</w:t>
      </w:r>
      <w:r>
        <w:rPr>
          <w:rFonts w:hint="eastAsia" w:asciiTheme="minorEastAsia" w:hAnsiTheme="minorEastAsia"/>
          <w:color w:val="auto"/>
          <w:sz w:val="24"/>
          <w:szCs w:val="24"/>
          <w:highlight w:val="none"/>
        </w:rPr>
        <w:t>；持有</w:t>
      </w:r>
      <w:r>
        <w:rPr>
          <w:rFonts w:hint="eastAsia" w:ascii="宋体" w:hAnsi="宋体"/>
          <w:bCs/>
          <w:color w:val="auto"/>
          <w:sz w:val="24"/>
          <w:highlight w:val="none"/>
        </w:rPr>
        <w:t>高级营养师证书</w:t>
      </w:r>
      <w:r>
        <w:rPr>
          <w:rFonts w:hint="eastAsia" w:asciiTheme="minorEastAsia" w:hAnsiTheme="minorEastAsia"/>
          <w:color w:val="auto"/>
          <w:sz w:val="24"/>
          <w:szCs w:val="24"/>
          <w:highlight w:val="none"/>
        </w:rPr>
        <w:t>的加1分，本项最高得3分。</w:t>
      </w:r>
    </w:p>
    <w:p w14:paraId="6E43C314">
      <w:pPr>
        <w:spacing w:line="360" w:lineRule="auto"/>
        <w:ind w:firstLine="480" w:firstLineChars="20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注：以上人员提供的厨师证，面点师证及营养师证需为行政主管部门或在行政主管部门备案的第三方机构颁发的为准，协会类颁发的不予认可。</w:t>
      </w:r>
    </w:p>
    <w:p w14:paraId="195DC74B">
      <w:pPr>
        <w:spacing w:line="360" w:lineRule="auto"/>
        <w:ind w:firstLine="480" w:firstLineChars="20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5.人员年龄要求(2分):投标人为本项目配置人员平均年龄在45-50周岁的得1分，平均年龄在45周岁(含)以下的得2分，本项最高得2分。</w:t>
      </w:r>
    </w:p>
    <w:p w14:paraId="54BD0053">
      <w:pPr>
        <w:shd w:val="clear" w:color="auto"/>
        <w:spacing w:line="360" w:lineRule="auto"/>
        <w:ind w:firstLine="465"/>
        <w:rPr>
          <w:rFonts w:hint="eastAsia" w:ascii="宋体" w:hAnsi="宋体" w:cs="宋体"/>
          <w:b/>
          <w:color w:val="auto"/>
          <w:sz w:val="24"/>
          <w:highlight w:val="none"/>
        </w:rPr>
      </w:pPr>
      <w:r>
        <w:rPr>
          <w:rFonts w:hint="eastAsia" w:ascii="宋体" w:hAnsi="宋体" w:cs="仿宋_GB2312"/>
          <w:bCs/>
          <w:color w:val="auto"/>
          <w:sz w:val="24"/>
          <w:szCs w:val="24"/>
          <w:highlight w:val="none"/>
        </w:rPr>
        <w:t>6.拟派的服务人员中，</w:t>
      </w:r>
      <w:r>
        <w:rPr>
          <w:rFonts w:hint="eastAsia" w:ascii="宋体" w:hAnsi="宋体"/>
          <w:bCs/>
          <w:color w:val="auto"/>
          <w:sz w:val="24"/>
          <w:highlight w:val="none"/>
          <w:lang w:eastAsia="zh-CN"/>
        </w:rPr>
        <w:t>获得</w:t>
      </w:r>
      <w:r>
        <w:rPr>
          <w:rFonts w:hint="eastAsia" w:ascii="宋体" w:hAnsi="宋体" w:cs="仿宋"/>
          <w:color w:val="auto"/>
          <w:sz w:val="24"/>
          <w:highlight w:val="none"/>
        </w:rPr>
        <w:t>过</w:t>
      </w:r>
      <w:r>
        <w:rPr>
          <w:rFonts w:hint="eastAsia" w:ascii="宋体" w:hAnsi="宋体"/>
          <w:bCs/>
          <w:color w:val="auto"/>
          <w:sz w:val="24"/>
          <w:highlight w:val="none"/>
          <w:lang w:eastAsia="zh-CN"/>
        </w:rPr>
        <w:t>市级及以上行政部门颁发的餐饮类</w:t>
      </w:r>
      <w:r>
        <w:rPr>
          <w:rFonts w:hint="eastAsia" w:ascii="宋体" w:hAnsi="宋体" w:cs="仿宋"/>
          <w:color w:val="auto"/>
          <w:sz w:val="24"/>
          <w:highlight w:val="none"/>
        </w:rPr>
        <w:t>表彰</w:t>
      </w:r>
      <w:r>
        <w:rPr>
          <w:rFonts w:hint="eastAsia" w:ascii="宋体" w:hAnsi="宋体"/>
          <w:bCs/>
          <w:color w:val="auto"/>
          <w:sz w:val="24"/>
          <w:highlight w:val="none"/>
          <w:lang w:eastAsia="zh-CN"/>
        </w:rPr>
        <w:t>、奖项</w:t>
      </w:r>
      <w:r>
        <w:rPr>
          <w:rFonts w:hint="eastAsia" w:ascii="宋体" w:hAnsi="宋体" w:cs="仿宋"/>
          <w:color w:val="auto"/>
          <w:sz w:val="24"/>
          <w:highlight w:val="none"/>
        </w:rPr>
        <w:t>等荣誉的</w:t>
      </w:r>
      <w:r>
        <w:rPr>
          <w:rFonts w:hint="eastAsia" w:ascii="宋体" w:hAnsi="宋体" w:cs="仿宋"/>
          <w:color w:val="auto"/>
          <w:sz w:val="24"/>
          <w:highlight w:val="none"/>
          <w:lang w:eastAsia="zh-CN"/>
        </w:rPr>
        <w:t>，</w:t>
      </w:r>
      <w:r>
        <w:rPr>
          <w:rFonts w:hint="eastAsia" w:ascii="宋体" w:hAnsi="宋体" w:cs="宋体"/>
          <w:bCs/>
          <w:color w:val="auto"/>
          <w:sz w:val="24"/>
          <w:highlight w:val="none"/>
        </w:rPr>
        <w:t>有一个得</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分，最高得</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分</w:t>
      </w:r>
      <w:r>
        <w:rPr>
          <w:rFonts w:hint="eastAsia" w:ascii="宋体" w:hAnsi="宋体"/>
          <w:bCs/>
          <w:color w:val="auto"/>
          <w:sz w:val="24"/>
          <w:highlight w:val="none"/>
          <w:lang w:eastAsia="zh-CN"/>
        </w:rPr>
        <w:t>（投标时需提供表彰、奖项等荣誉的原件扫描件并加盖投标供应商公章上传至投标系统中；未按要求提供的不得分。）</w:t>
      </w:r>
    </w:p>
    <w:p w14:paraId="71A58ACC">
      <w:pPr>
        <w:shd w:val="clear" w:color="auto"/>
        <w:spacing w:line="360" w:lineRule="auto"/>
        <w:ind w:firstLine="465"/>
        <w:rPr>
          <w:rFonts w:ascii="宋体" w:hAnsi="宋体" w:cs="宋体"/>
          <w:b/>
          <w:color w:val="auto"/>
          <w:sz w:val="24"/>
          <w:highlight w:val="none"/>
        </w:rPr>
      </w:pPr>
      <w:r>
        <w:rPr>
          <w:rFonts w:hint="eastAsia" w:ascii="宋体" w:hAnsi="宋体" w:cs="宋体"/>
          <w:b/>
          <w:color w:val="auto"/>
          <w:sz w:val="24"/>
          <w:highlight w:val="none"/>
        </w:rPr>
        <w:t>注：以上人员填列到《拟投入本项目人员一览表》中，需提供身份证、证书、《健康证》和近一年中任意一个月份(不含投标当月)的社保证明及其他证明材料复印件或扫描件加盖公章做进投标文件中，否则不得分。</w:t>
      </w:r>
    </w:p>
    <w:p w14:paraId="70370425">
      <w:pPr>
        <w:shd w:val="clear" w:color="auto"/>
        <w:tabs>
          <w:tab w:val="left" w:pos="525"/>
          <w:tab w:val="left" w:pos="945"/>
          <w:tab w:val="left" w:pos="1129"/>
          <w:tab w:val="left" w:pos="1155"/>
          <w:tab w:val="left" w:pos="3823"/>
        </w:tabs>
        <w:spacing w:line="360" w:lineRule="auto"/>
        <w:rPr>
          <w:rFonts w:ascii="宋体" w:hAnsi="宋体" w:cs="宋体"/>
          <w:b/>
          <w:color w:val="auto"/>
          <w:sz w:val="24"/>
          <w:highlight w:val="none"/>
        </w:rPr>
      </w:pPr>
      <w:r>
        <w:rPr>
          <w:rFonts w:hint="eastAsia" w:ascii="宋体" w:hAnsi="宋体" w:cs="宋体"/>
          <w:b/>
          <w:color w:val="auto"/>
          <w:sz w:val="24"/>
          <w:highlight w:val="none"/>
        </w:rPr>
        <w:t>技术部分（60分）（暗标）：</w:t>
      </w:r>
    </w:p>
    <w:p w14:paraId="1CADAF0E">
      <w:pPr>
        <w:shd w:val="clear" w:color="auto"/>
        <w:tabs>
          <w:tab w:val="left" w:pos="525"/>
          <w:tab w:val="left" w:pos="945"/>
          <w:tab w:val="left" w:pos="1129"/>
          <w:tab w:val="left" w:pos="1155"/>
          <w:tab w:val="left" w:pos="3823"/>
        </w:tabs>
        <w:spacing w:line="360" w:lineRule="auto"/>
        <w:rPr>
          <w:rFonts w:ascii="宋体" w:hAnsi="宋体" w:cs="宋体"/>
          <w:b/>
          <w:color w:val="auto"/>
          <w:sz w:val="24"/>
          <w:highlight w:val="none"/>
        </w:rPr>
      </w:pPr>
      <w:r>
        <w:rPr>
          <w:rFonts w:hint="eastAsia" w:ascii="宋体" w:hAnsi="宋体" w:cs="宋体"/>
          <w:b/>
          <w:color w:val="auto"/>
          <w:sz w:val="24"/>
          <w:highlight w:val="none"/>
        </w:rPr>
        <w:t>3.</w:t>
      </w:r>
      <w:r>
        <w:rPr>
          <w:rFonts w:hint="eastAsia" w:ascii="宋体" w:hAnsi="宋体" w:cs="宋体"/>
          <w:b/>
          <w:color w:val="auto"/>
          <w:sz w:val="24"/>
          <w:highlight w:val="none"/>
          <w:lang w:val="en-US" w:eastAsia="zh-CN"/>
        </w:rPr>
        <w:t>技术标-</w:t>
      </w:r>
      <w:r>
        <w:rPr>
          <w:rFonts w:hint="eastAsia" w:ascii="宋体" w:hAnsi="宋体" w:cs="宋体"/>
          <w:b/>
          <w:bCs/>
          <w:color w:val="auto"/>
          <w:sz w:val="24"/>
          <w:highlight w:val="none"/>
        </w:rPr>
        <w:t>服务方案（60分）</w:t>
      </w:r>
    </w:p>
    <w:p w14:paraId="7279CFF5">
      <w:pPr>
        <w:shd w:val="clear" w:color="auto"/>
        <w:spacing w:line="360" w:lineRule="auto"/>
        <w:ind w:firstLine="482"/>
        <w:rPr>
          <w:rFonts w:ascii="宋体" w:hAnsi="宋体" w:cs="宋体"/>
          <w:b/>
          <w:color w:val="auto"/>
          <w:sz w:val="24"/>
          <w:highlight w:val="none"/>
          <w:lang w:bidi="ar"/>
        </w:rPr>
      </w:pPr>
      <w:r>
        <w:rPr>
          <w:rFonts w:hint="eastAsia" w:ascii="宋体" w:hAnsi="宋体" w:cs="宋体"/>
          <w:b/>
          <w:color w:val="auto"/>
          <w:sz w:val="24"/>
          <w:highlight w:val="none"/>
          <w:lang w:bidi="ar"/>
        </w:rPr>
        <w:t>在响应招标文件需求的基础上针对下列各部分进行评价，要求体现科学合理性、条理性、可行性、完善性、针对性，以下各部分如未见阐述则不得分：</w:t>
      </w:r>
    </w:p>
    <w:p w14:paraId="53C86FC1">
      <w:pPr>
        <w:spacing w:line="440" w:lineRule="exact"/>
        <w:ind w:firstLine="480" w:firstLineChars="200"/>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餐饮服务管理工作设计及实施方案（根据与用户现场的符合程序）（1</w:t>
      </w:r>
      <w:r>
        <w:rPr>
          <w:rFonts w:ascii="宋体" w:hAnsi="宋体"/>
          <w:color w:val="auto"/>
          <w:sz w:val="24"/>
          <w:szCs w:val="24"/>
          <w:highlight w:val="none"/>
        </w:rPr>
        <w:t>6</w:t>
      </w:r>
      <w:r>
        <w:rPr>
          <w:rFonts w:hint="eastAsia" w:ascii="宋体" w:hAnsi="宋体"/>
          <w:color w:val="auto"/>
          <w:sz w:val="24"/>
          <w:szCs w:val="24"/>
          <w:highlight w:val="none"/>
        </w:rPr>
        <w:t>分）</w:t>
      </w:r>
    </w:p>
    <w:p w14:paraId="11BF5326">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内容包含：</w:t>
      </w:r>
    </w:p>
    <w:p w14:paraId="3D653DC7">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a.项目管理目标</w:t>
      </w:r>
    </w:p>
    <w:p w14:paraId="5A6F21C9">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b.项目整体设想</w:t>
      </w:r>
    </w:p>
    <w:p w14:paraId="51BA17B5">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C.现场管理体系及组织架构</w:t>
      </w:r>
    </w:p>
    <w:p w14:paraId="34395595">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d.日常服务标准及措施</w:t>
      </w:r>
    </w:p>
    <w:p w14:paraId="497CB086">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e.项目管理重点难点与措施</w:t>
      </w:r>
    </w:p>
    <w:p w14:paraId="3D82D146">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f.监督检查考核机制</w:t>
      </w:r>
    </w:p>
    <w:p w14:paraId="1675A40C">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g.项目员工培训管理</w:t>
      </w:r>
    </w:p>
    <w:p w14:paraId="74247516">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h.员工招聘及体检标准</w:t>
      </w:r>
    </w:p>
    <w:p w14:paraId="35F63096">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i.创优创新措施</w:t>
      </w:r>
    </w:p>
    <w:p w14:paraId="0D1854BF">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j.员工工资薪酬体系</w:t>
      </w:r>
    </w:p>
    <w:p w14:paraId="0688B83F">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根据方案定位的准确性、表述的完整性、条理性、目标的合理性、与食堂服务需求贴合程度进行打分：以上内容全部完备且无明显瑕疵的，最高得1</w:t>
      </w:r>
      <w:r>
        <w:rPr>
          <w:rFonts w:ascii="宋体" w:hAnsi="宋体"/>
          <w:color w:val="auto"/>
          <w:sz w:val="24"/>
          <w:szCs w:val="24"/>
          <w:highlight w:val="none"/>
        </w:rPr>
        <w:t>6</w:t>
      </w:r>
      <w:r>
        <w:rPr>
          <w:rFonts w:hint="eastAsia" w:ascii="宋体" w:hAnsi="宋体"/>
          <w:color w:val="auto"/>
          <w:sz w:val="24"/>
          <w:szCs w:val="24"/>
          <w:highlight w:val="none"/>
        </w:rPr>
        <w:t>分；若有1-</w:t>
      </w:r>
      <w:r>
        <w:rPr>
          <w:rFonts w:ascii="宋体" w:hAnsi="宋体"/>
          <w:color w:val="auto"/>
          <w:sz w:val="24"/>
          <w:szCs w:val="24"/>
          <w:highlight w:val="none"/>
        </w:rPr>
        <w:t>2项内容不够完善</w:t>
      </w:r>
      <w:r>
        <w:rPr>
          <w:rFonts w:hint="eastAsia" w:ascii="宋体" w:hAnsi="宋体"/>
          <w:color w:val="auto"/>
          <w:sz w:val="24"/>
          <w:szCs w:val="24"/>
          <w:highlight w:val="none"/>
        </w:rPr>
        <w:t>或存在明显瑕疵</w:t>
      </w:r>
      <w:r>
        <w:rPr>
          <w:rFonts w:ascii="宋体" w:hAnsi="宋体"/>
          <w:color w:val="auto"/>
          <w:sz w:val="24"/>
          <w:szCs w:val="24"/>
          <w:highlight w:val="none"/>
        </w:rPr>
        <w:t>1</w:t>
      </w:r>
      <w:r>
        <w:rPr>
          <w:rFonts w:hint="eastAsia" w:ascii="宋体" w:hAnsi="宋体"/>
          <w:color w:val="auto"/>
          <w:sz w:val="24"/>
          <w:szCs w:val="24"/>
          <w:highlight w:val="none"/>
        </w:rPr>
        <w:t>-</w:t>
      </w:r>
      <w:r>
        <w:rPr>
          <w:rFonts w:ascii="宋体" w:hAnsi="宋体"/>
          <w:color w:val="auto"/>
          <w:sz w:val="24"/>
          <w:szCs w:val="24"/>
          <w:highlight w:val="none"/>
        </w:rPr>
        <w:t>2</w:t>
      </w:r>
      <w:r>
        <w:rPr>
          <w:rFonts w:hint="eastAsia" w:ascii="宋体" w:hAnsi="宋体"/>
          <w:color w:val="auto"/>
          <w:sz w:val="24"/>
          <w:szCs w:val="24"/>
          <w:highlight w:val="none"/>
        </w:rPr>
        <w:t>处的最高得1</w:t>
      </w:r>
      <w:r>
        <w:rPr>
          <w:rFonts w:ascii="宋体" w:hAnsi="宋体"/>
          <w:color w:val="auto"/>
          <w:sz w:val="24"/>
          <w:szCs w:val="24"/>
          <w:highlight w:val="none"/>
        </w:rPr>
        <w:t>2</w:t>
      </w:r>
      <w:r>
        <w:rPr>
          <w:rFonts w:hint="eastAsia" w:ascii="宋体" w:hAnsi="宋体"/>
          <w:color w:val="auto"/>
          <w:sz w:val="24"/>
          <w:szCs w:val="24"/>
          <w:highlight w:val="none"/>
        </w:rPr>
        <w:t>分；若有3项及以上内容未完善或存在明显瑕疵</w:t>
      </w:r>
      <w:r>
        <w:rPr>
          <w:rFonts w:ascii="宋体" w:hAnsi="宋体"/>
          <w:color w:val="auto"/>
          <w:sz w:val="24"/>
          <w:szCs w:val="24"/>
          <w:highlight w:val="none"/>
        </w:rPr>
        <w:t>3</w:t>
      </w:r>
      <w:r>
        <w:rPr>
          <w:rFonts w:hint="eastAsia" w:ascii="宋体" w:hAnsi="宋体"/>
          <w:color w:val="auto"/>
          <w:sz w:val="24"/>
          <w:szCs w:val="24"/>
          <w:highlight w:val="none"/>
        </w:rPr>
        <w:t>处及以上的得8分，未提供方案不得分。</w:t>
      </w:r>
    </w:p>
    <w:p w14:paraId="5128C0A2">
      <w:pPr>
        <w:spacing w:line="440" w:lineRule="exact"/>
        <w:ind w:firstLine="480" w:firstLineChars="20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日常管理制度和工作标准（</w:t>
      </w:r>
      <w:r>
        <w:rPr>
          <w:rFonts w:ascii="宋体" w:hAnsi="宋体"/>
          <w:color w:val="auto"/>
          <w:sz w:val="24"/>
          <w:szCs w:val="24"/>
          <w:highlight w:val="none"/>
        </w:rPr>
        <w:t>10</w:t>
      </w:r>
      <w:r>
        <w:rPr>
          <w:rFonts w:hint="eastAsia" w:ascii="宋体" w:hAnsi="宋体"/>
          <w:color w:val="auto"/>
          <w:sz w:val="24"/>
          <w:szCs w:val="24"/>
          <w:highlight w:val="none"/>
        </w:rPr>
        <w:t>分）</w:t>
      </w:r>
    </w:p>
    <w:p w14:paraId="46DA163E">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a.质量管理制度</w:t>
      </w:r>
    </w:p>
    <w:p w14:paraId="32D20F60">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b.卫生管理制度</w:t>
      </w:r>
    </w:p>
    <w:p w14:paraId="5D935A36">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c.员工奖惩制度</w:t>
      </w:r>
    </w:p>
    <w:p w14:paraId="3E7682A2">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d.食品索证登记制度</w:t>
      </w:r>
    </w:p>
    <w:p w14:paraId="097E058C">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e.食品逐日消耗登记制度</w:t>
      </w:r>
    </w:p>
    <w:p w14:paraId="3BD12B61">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f.操作工艺流程及管理制度</w:t>
      </w:r>
    </w:p>
    <w:p w14:paraId="4B4062DD">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g.食品留样制度</w:t>
      </w:r>
    </w:p>
    <w:p w14:paraId="6512472E">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h.仓库管理及点验制度</w:t>
      </w:r>
    </w:p>
    <w:p w14:paraId="132514D2">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I.成本管控及核算制度</w:t>
      </w:r>
    </w:p>
    <w:p w14:paraId="50B9C8E8">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J.台账管理制度</w:t>
      </w:r>
    </w:p>
    <w:p w14:paraId="143E5F71">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根据方案定位的准确性、表述的完整性、条理性、目标的合理性、与食堂服务需求贴合程度进行打分：以上内容全部完备且无明显瑕疵的，最高得1</w:t>
      </w:r>
      <w:r>
        <w:rPr>
          <w:rFonts w:ascii="宋体" w:hAnsi="宋体"/>
          <w:color w:val="auto"/>
          <w:sz w:val="24"/>
          <w:szCs w:val="24"/>
          <w:highlight w:val="none"/>
        </w:rPr>
        <w:t>0</w:t>
      </w:r>
      <w:r>
        <w:rPr>
          <w:rFonts w:hint="eastAsia" w:ascii="宋体" w:hAnsi="宋体"/>
          <w:color w:val="auto"/>
          <w:sz w:val="24"/>
          <w:szCs w:val="24"/>
          <w:highlight w:val="none"/>
        </w:rPr>
        <w:t>分；若有1-</w:t>
      </w:r>
      <w:r>
        <w:rPr>
          <w:rFonts w:ascii="宋体" w:hAnsi="宋体"/>
          <w:color w:val="auto"/>
          <w:sz w:val="24"/>
          <w:szCs w:val="24"/>
          <w:highlight w:val="none"/>
        </w:rPr>
        <w:t>2项内容不够完善</w:t>
      </w:r>
      <w:r>
        <w:rPr>
          <w:rFonts w:hint="eastAsia" w:ascii="宋体" w:hAnsi="宋体"/>
          <w:color w:val="auto"/>
          <w:sz w:val="24"/>
          <w:szCs w:val="24"/>
          <w:highlight w:val="none"/>
        </w:rPr>
        <w:t>或存在明显瑕疵</w:t>
      </w:r>
      <w:r>
        <w:rPr>
          <w:rFonts w:ascii="宋体" w:hAnsi="宋体"/>
          <w:color w:val="auto"/>
          <w:sz w:val="24"/>
          <w:szCs w:val="24"/>
          <w:highlight w:val="none"/>
        </w:rPr>
        <w:t>1-2</w:t>
      </w:r>
      <w:r>
        <w:rPr>
          <w:rFonts w:hint="eastAsia" w:ascii="宋体" w:hAnsi="宋体"/>
          <w:color w:val="auto"/>
          <w:sz w:val="24"/>
          <w:szCs w:val="24"/>
          <w:highlight w:val="none"/>
        </w:rPr>
        <w:t>处的最高得</w:t>
      </w:r>
      <w:r>
        <w:rPr>
          <w:rFonts w:ascii="宋体" w:hAnsi="宋体"/>
          <w:color w:val="auto"/>
          <w:sz w:val="24"/>
          <w:szCs w:val="24"/>
          <w:highlight w:val="none"/>
        </w:rPr>
        <w:t>8</w:t>
      </w:r>
      <w:r>
        <w:rPr>
          <w:rFonts w:hint="eastAsia" w:ascii="宋体" w:hAnsi="宋体"/>
          <w:color w:val="auto"/>
          <w:sz w:val="24"/>
          <w:szCs w:val="24"/>
          <w:highlight w:val="none"/>
        </w:rPr>
        <w:t>分；若有3项及以上内容未完善或存在明显瑕疵</w:t>
      </w:r>
      <w:r>
        <w:rPr>
          <w:rFonts w:ascii="宋体" w:hAnsi="宋体"/>
          <w:color w:val="auto"/>
          <w:sz w:val="24"/>
          <w:szCs w:val="24"/>
          <w:highlight w:val="none"/>
        </w:rPr>
        <w:t>3</w:t>
      </w:r>
      <w:r>
        <w:rPr>
          <w:rFonts w:hint="eastAsia" w:ascii="宋体" w:hAnsi="宋体"/>
          <w:color w:val="auto"/>
          <w:sz w:val="24"/>
          <w:szCs w:val="24"/>
          <w:highlight w:val="none"/>
        </w:rPr>
        <w:t>处及以上的得</w:t>
      </w:r>
      <w:r>
        <w:rPr>
          <w:rFonts w:ascii="宋体" w:hAnsi="宋体"/>
          <w:color w:val="auto"/>
          <w:sz w:val="24"/>
          <w:szCs w:val="24"/>
          <w:highlight w:val="none"/>
        </w:rPr>
        <w:t>5</w:t>
      </w:r>
      <w:r>
        <w:rPr>
          <w:rFonts w:hint="eastAsia" w:ascii="宋体" w:hAnsi="宋体"/>
          <w:color w:val="auto"/>
          <w:sz w:val="24"/>
          <w:szCs w:val="24"/>
          <w:highlight w:val="none"/>
        </w:rPr>
        <w:t>分，未提供方案不得分。</w:t>
      </w:r>
    </w:p>
    <w:p w14:paraId="39DAA00D">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w:t>
      </w:r>
      <w:r>
        <w:rPr>
          <w:rFonts w:hint="eastAsia" w:ascii="宋体" w:hAnsi="宋体"/>
          <w:color w:val="auto"/>
          <w:sz w:val="24"/>
          <w:szCs w:val="24"/>
          <w:highlight w:val="none"/>
        </w:rPr>
        <w:t>日常管理流程图（7分）</w:t>
      </w:r>
    </w:p>
    <w:p w14:paraId="05340CF1">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a.岗位管理流程图，每个流程节点落实到岗位</w:t>
      </w:r>
    </w:p>
    <w:p w14:paraId="63B32319">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b.人员岗位安排及职责</w:t>
      </w:r>
    </w:p>
    <w:p w14:paraId="0DDB2055">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c.周一至周五工作时间段人员数量及排班表，并标注人员属性</w:t>
      </w:r>
    </w:p>
    <w:p w14:paraId="18140569">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根据方案定位的准确性、表述的完整性、条理性、目标的合理性、与食堂服务需求贴合程度进行打分：以上内容全部完备且无明显瑕疵的，最高得7分；若有1</w:t>
      </w:r>
      <w:r>
        <w:rPr>
          <w:rFonts w:ascii="宋体" w:hAnsi="宋体"/>
          <w:color w:val="auto"/>
          <w:sz w:val="24"/>
          <w:szCs w:val="24"/>
          <w:highlight w:val="none"/>
        </w:rPr>
        <w:t>项内容不够完善</w:t>
      </w:r>
      <w:r>
        <w:rPr>
          <w:rFonts w:hint="eastAsia" w:ascii="宋体" w:hAnsi="宋体"/>
          <w:color w:val="auto"/>
          <w:sz w:val="24"/>
          <w:szCs w:val="24"/>
          <w:highlight w:val="none"/>
        </w:rPr>
        <w:t>或存在明显瑕疵</w:t>
      </w:r>
      <w:r>
        <w:rPr>
          <w:rFonts w:ascii="宋体" w:hAnsi="宋体"/>
          <w:color w:val="auto"/>
          <w:sz w:val="24"/>
          <w:szCs w:val="24"/>
          <w:highlight w:val="none"/>
        </w:rPr>
        <w:t>1</w:t>
      </w:r>
      <w:r>
        <w:rPr>
          <w:rFonts w:hint="eastAsia" w:ascii="宋体" w:hAnsi="宋体"/>
          <w:color w:val="auto"/>
          <w:sz w:val="24"/>
          <w:szCs w:val="24"/>
          <w:highlight w:val="none"/>
        </w:rPr>
        <w:t>处的最高得5分；若有3项及以上内容未完善或存在明显瑕疵</w:t>
      </w:r>
      <w:r>
        <w:rPr>
          <w:rFonts w:ascii="宋体" w:hAnsi="宋体"/>
          <w:color w:val="auto"/>
          <w:sz w:val="24"/>
          <w:szCs w:val="24"/>
          <w:highlight w:val="none"/>
        </w:rPr>
        <w:t>3</w:t>
      </w:r>
      <w:r>
        <w:rPr>
          <w:rFonts w:hint="eastAsia" w:ascii="宋体" w:hAnsi="宋体"/>
          <w:color w:val="auto"/>
          <w:sz w:val="24"/>
          <w:szCs w:val="24"/>
          <w:highlight w:val="none"/>
        </w:rPr>
        <w:t>处及以上的得3分，未提供方案不得分。</w:t>
      </w:r>
    </w:p>
    <w:p w14:paraId="4D91D620">
      <w:pPr>
        <w:spacing w:line="440" w:lineRule="exact"/>
        <w:ind w:firstLine="480" w:firstLineChars="200"/>
        <w:rPr>
          <w:rFonts w:ascii="宋体" w:hAnsi="宋体"/>
          <w:color w:val="auto"/>
          <w:sz w:val="24"/>
          <w:szCs w:val="24"/>
          <w:highlight w:val="none"/>
        </w:rPr>
      </w:pPr>
      <w:r>
        <w:rPr>
          <w:rFonts w:ascii="宋体" w:hAnsi="宋体"/>
          <w:color w:val="auto"/>
          <w:sz w:val="24"/>
          <w:szCs w:val="24"/>
          <w:highlight w:val="none"/>
        </w:rPr>
        <w:t>4.</w:t>
      </w:r>
      <w:r>
        <w:rPr>
          <w:rFonts w:hint="eastAsia" w:ascii="宋体" w:hAnsi="宋体"/>
          <w:color w:val="auto"/>
          <w:sz w:val="24"/>
          <w:szCs w:val="24"/>
          <w:highlight w:val="none"/>
        </w:rPr>
        <w:t>疫情防控、防火、防食物中毒、防汛等突发事件的应急预案（</w:t>
      </w:r>
      <w:r>
        <w:rPr>
          <w:rFonts w:ascii="宋体" w:hAnsi="宋体"/>
          <w:color w:val="auto"/>
          <w:sz w:val="24"/>
          <w:szCs w:val="24"/>
          <w:highlight w:val="none"/>
        </w:rPr>
        <w:t>9</w:t>
      </w:r>
      <w:r>
        <w:rPr>
          <w:rFonts w:hint="eastAsia" w:ascii="宋体" w:hAnsi="宋体"/>
          <w:color w:val="auto"/>
          <w:sz w:val="24"/>
          <w:szCs w:val="24"/>
          <w:highlight w:val="none"/>
        </w:rPr>
        <w:t>分）</w:t>
      </w:r>
    </w:p>
    <w:p w14:paraId="72D159E5">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a.疫情防控工作预案</w:t>
      </w:r>
    </w:p>
    <w:p w14:paraId="6A2255C3">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b.防火、防汛预案</w:t>
      </w:r>
    </w:p>
    <w:p w14:paraId="66250A39">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c.防食物中毒预案</w:t>
      </w:r>
    </w:p>
    <w:p w14:paraId="2377BB75">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d.其它突发事件（情况）应急预案</w:t>
      </w:r>
    </w:p>
    <w:p w14:paraId="419769F0">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根据方案定位的准确性、表述的完整性、条理性、目标的合理性、与食堂服务需求贴合程度进行打分：以上内容全部完备且无明显瑕疵的，最高得</w:t>
      </w:r>
      <w:r>
        <w:rPr>
          <w:rFonts w:ascii="宋体" w:hAnsi="宋体"/>
          <w:color w:val="auto"/>
          <w:sz w:val="24"/>
          <w:szCs w:val="24"/>
          <w:highlight w:val="none"/>
        </w:rPr>
        <w:t>9</w:t>
      </w:r>
      <w:r>
        <w:rPr>
          <w:rFonts w:hint="eastAsia" w:ascii="宋体" w:hAnsi="宋体"/>
          <w:color w:val="auto"/>
          <w:sz w:val="24"/>
          <w:szCs w:val="24"/>
          <w:highlight w:val="none"/>
        </w:rPr>
        <w:t>分；若有1-</w:t>
      </w:r>
      <w:r>
        <w:rPr>
          <w:rFonts w:ascii="宋体" w:hAnsi="宋体"/>
          <w:color w:val="auto"/>
          <w:sz w:val="24"/>
          <w:szCs w:val="24"/>
          <w:highlight w:val="none"/>
        </w:rPr>
        <w:t>2项内容不够完善</w:t>
      </w:r>
      <w:r>
        <w:rPr>
          <w:rFonts w:hint="eastAsia" w:ascii="宋体" w:hAnsi="宋体"/>
          <w:color w:val="auto"/>
          <w:sz w:val="24"/>
          <w:szCs w:val="24"/>
          <w:highlight w:val="none"/>
        </w:rPr>
        <w:t>或存在明显瑕疵</w:t>
      </w:r>
      <w:r>
        <w:rPr>
          <w:rFonts w:ascii="宋体" w:hAnsi="宋体"/>
          <w:color w:val="auto"/>
          <w:sz w:val="24"/>
          <w:szCs w:val="24"/>
          <w:highlight w:val="none"/>
        </w:rPr>
        <w:t>1</w:t>
      </w:r>
      <w:r>
        <w:rPr>
          <w:rFonts w:hint="eastAsia" w:ascii="宋体" w:hAnsi="宋体"/>
          <w:color w:val="auto"/>
          <w:sz w:val="24"/>
          <w:szCs w:val="24"/>
          <w:highlight w:val="none"/>
        </w:rPr>
        <w:t>-</w:t>
      </w:r>
      <w:r>
        <w:rPr>
          <w:rFonts w:ascii="宋体" w:hAnsi="宋体"/>
          <w:color w:val="auto"/>
          <w:sz w:val="24"/>
          <w:szCs w:val="24"/>
          <w:highlight w:val="none"/>
        </w:rPr>
        <w:t>2</w:t>
      </w:r>
      <w:r>
        <w:rPr>
          <w:rFonts w:hint="eastAsia" w:ascii="宋体" w:hAnsi="宋体"/>
          <w:color w:val="auto"/>
          <w:sz w:val="24"/>
          <w:szCs w:val="24"/>
          <w:highlight w:val="none"/>
        </w:rPr>
        <w:t>处的最高得</w:t>
      </w:r>
      <w:r>
        <w:rPr>
          <w:rFonts w:ascii="宋体" w:hAnsi="宋体"/>
          <w:color w:val="auto"/>
          <w:sz w:val="24"/>
          <w:szCs w:val="24"/>
          <w:highlight w:val="none"/>
        </w:rPr>
        <w:t>6</w:t>
      </w:r>
      <w:r>
        <w:rPr>
          <w:rFonts w:hint="eastAsia" w:ascii="宋体" w:hAnsi="宋体"/>
          <w:color w:val="auto"/>
          <w:sz w:val="24"/>
          <w:szCs w:val="24"/>
          <w:highlight w:val="none"/>
        </w:rPr>
        <w:t>分；若有3项及以上内容未完善或存在明显瑕疵</w:t>
      </w:r>
      <w:r>
        <w:rPr>
          <w:rFonts w:ascii="宋体" w:hAnsi="宋体"/>
          <w:color w:val="auto"/>
          <w:sz w:val="24"/>
          <w:szCs w:val="24"/>
          <w:highlight w:val="none"/>
        </w:rPr>
        <w:t>3</w:t>
      </w:r>
      <w:r>
        <w:rPr>
          <w:rFonts w:hint="eastAsia" w:ascii="宋体" w:hAnsi="宋体"/>
          <w:color w:val="auto"/>
          <w:sz w:val="24"/>
          <w:szCs w:val="24"/>
          <w:highlight w:val="none"/>
        </w:rPr>
        <w:t>处及以上的得</w:t>
      </w:r>
      <w:r>
        <w:rPr>
          <w:rFonts w:ascii="宋体" w:hAnsi="宋体"/>
          <w:color w:val="auto"/>
          <w:sz w:val="24"/>
          <w:szCs w:val="24"/>
          <w:highlight w:val="none"/>
        </w:rPr>
        <w:t>4</w:t>
      </w:r>
      <w:r>
        <w:rPr>
          <w:rFonts w:hint="eastAsia" w:ascii="宋体" w:hAnsi="宋体"/>
          <w:color w:val="auto"/>
          <w:sz w:val="24"/>
          <w:szCs w:val="24"/>
          <w:highlight w:val="none"/>
        </w:rPr>
        <w:t>分，未提供方案不得分。</w:t>
      </w:r>
    </w:p>
    <w:p w14:paraId="50624E63">
      <w:pPr>
        <w:spacing w:line="440" w:lineRule="exact"/>
        <w:ind w:firstLine="480" w:firstLineChars="200"/>
        <w:rPr>
          <w:rFonts w:ascii="宋体" w:hAnsi="宋体"/>
          <w:color w:val="auto"/>
          <w:sz w:val="24"/>
          <w:szCs w:val="24"/>
          <w:highlight w:val="none"/>
        </w:rPr>
      </w:pPr>
      <w:r>
        <w:rPr>
          <w:rFonts w:ascii="宋体" w:hAnsi="宋体"/>
          <w:color w:val="auto"/>
          <w:sz w:val="24"/>
          <w:szCs w:val="24"/>
          <w:highlight w:val="none"/>
        </w:rPr>
        <w:t>5.</w:t>
      </w:r>
      <w:r>
        <w:rPr>
          <w:rFonts w:hint="eastAsia" w:ascii="宋体" w:hAnsi="宋体"/>
          <w:color w:val="auto"/>
          <w:sz w:val="24"/>
          <w:szCs w:val="24"/>
          <w:highlight w:val="none"/>
        </w:rPr>
        <w:t>保障应急任务后备人员充足的承诺及控制项目人员流失率的承诺（4分）</w:t>
      </w:r>
    </w:p>
    <w:p w14:paraId="67A7C8A3">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a.保障应急任务后备人员充足的承诺</w:t>
      </w:r>
    </w:p>
    <w:p w14:paraId="444F8953">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b.控制人员流失的承诺</w:t>
      </w:r>
    </w:p>
    <w:p w14:paraId="36AEF520">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根据方案定位的准确性、表述的完整性、条理性、目标的合理性、与食堂服务需求贴合程度进行打分：以上内容全部完备且无明显瑕疵的，得4分；若有1</w:t>
      </w:r>
      <w:r>
        <w:rPr>
          <w:rFonts w:ascii="宋体" w:hAnsi="宋体"/>
          <w:color w:val="auto"/>
          <w:sz w:val="24"/>
          <w:szCs w:val="24"/>
          <w:highlight w:val="none"/>
        </w:rPr>
        <w:t>项内容不够完善</w:t>
      </w:r>
      <w:r>
        <w:rPr>
          <w:rFonts w:hint="eastAsia" w:ascii="宋体" w:hAnsi="宋体"/>
          <w:color w:val="auto"/>
          <w:sz w:val="24"/>
          <w:szCs w:val="24"/>
          <w:highlight w:val="none"/>
        </w:rPr>
        <w:t>或存在明显瑕疵</w:t>
      </w:r>
      <w:r>
        <w:rPr>
          <w:rFonts w:ascii="宋体" w:hAnsi="宋体"/>
          <w:color w:val="auto"/>
          <w:sz w:val="24"/>
          <w:szCs w:val="24"/>
          <w:highlight w:val="none"/>
        </w:rPr>
        <w:t>1</w:t>
      </w:r>
      <w:r>
        <w:rPr>
          <w:rFonts w:hint="eastAsia" w:ascii="宋体" w:hAnsi="宋体"/>
          <w:color w:val="auto"/>
          <w:sz w:val="24"/>
          <w:szCs w:val="24"/>
          <w:highlight w:val="none"/>
        </w:rPr>
        <w:t>处的得3分；若有2项及以上内容未完善或存在明显瑕疵</w:t>
      </w:r>
      <w:r>
        <w:rPr>
          <w:rFonts w:ascii="宋体" w:hAnsi="宋体"/>
          <w:color w:val="auto"/>
          <w:sz w:val="24"/>
          <w:szCs w:val="24"/>
          <w:highlight w:val="none"/>
        </w:rPr>
        <w:t>2</w:t>
      </w:r>
      <w:r>
        <w:rPr>
          <w:rFonts w:hint="eastAsia" w:ascii="宋体" w:hAnsi="宋体"/>
          <w:color w:val="auto"/>
          <w:sz w:val="24"/>
          <w:szCs w:val="24"/>
          <w:highlight w:val="none"/>
        </w:rPr>
        <w:t>处及以上的得2分，未提供方案不得分。</w:t>
      </w:r>
    </w:p>
    <w:p w14:paraId="76DDEF0B">
      <w:pPr>
        <w:spacing w:line="440" w:lineRule="exact"/>
        <w:ind w:firstLine="480" w:firstLineChars="200"/>
        <w:rPr>
          <w:rFonts w:ascii="宋体" w:hAnsi="宋体"/>
          <w:color w:val="auto"/>
          <w:sz w:val="24"/>
          <w:szCs w:val="24"/>
          <w:highlight w:val="none"/>
        </w:rPr>
      </w:pPr>
      <w:r>
        <w:rPr>
          <w:rFonts w:ascii="宋体" w:hAnsi="宋体"/>
          <w:color w:val="auto"/>
          <w:sz w:val="24"/>
          <w:szCs w:val="24"/>
          <w:highlight w:val="none"/>
        </w:rPr>
        <w:t>6.</w:t>
      </w:r>
      <w:r>
        <w:rPr>
          <w:rFonts w:hint="eastAsia" w:ascii="宋体" w:hAnsi="宋体"/>
          <w:color w:val="auto"/>
          <w:sz w:val="24"/>
          <w:szCs w:val="24"/>
          <w:highlight w:val="none"/>
        </w:rPr>
        <w:t>供餐模式及品种方案（</w:t>
      </w:r>
      <w:r>
        <w:rPr>
          <w:rFonts w:ascii="宋体" w:hAnsi="宋体"/>
          <w:color w:val="auto"/>
          <w:sz w:val="24"/>
          <w:szCs w:val="24"/>
          <w:highlight w:val="none"/>
        </w:rPr>
        <w:t>4</w:t>
      </w:r>
      <w:r>
        <w:rPr>
          <w:rFonts w:hint="eastAsia" w:ascii="宋体" w:hAnsi="宋体"/>
          <w:color w:val="auto"/>
          <w:sz w:val="24"/>
          <w:szCs w:val="24"/>
          <w:highlight w:val="none"/>
        </w:rPr>
        <w:t>分）</w:t>
      </w:r>
    </w:p>
    <w:p w14:paraId="01B87814">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a.项目供餐模式设想</w:t>
      </w:r>
    </w:p>
    <w:p w14:paraId="6BA6BCFC">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b.餐饮品种方案</w:t>
      </w:r>
    </w:p>
    <w:p w14:paraId="43F8E1BE">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根据方案定位的准确性、表述的完整性、条理性、目标的合理性、与食堂服务需求贴合程度进行打分：以上内容全部完备且无明显瑕疵的，得4分；若有1</w:t>
      </w:r>
      <w:r>
        <w:rPr>
          <w:rFonts w:ascii="宋体" w:hAnsi="宋体"/>
          <w:color w:val="auto"/>
          <w:sz w:val="24"/>
          <w:szCs w:val="24"/>
          <w:highlight w:val="none"/>
        </w:rPr>
        <w:t>项内容不够完善</w:t>
      </w:r>
      <w:r>
        <w:rPr>
          <w:rFonts w:hint="eastAsia" w:ascii="宋体" w:hAnsi="宋体"/>
          <w:color w:val="auto"/>
          <w:sz w:val="24"/>
          <w:szCs w:val="24"/>
          <w:highlight w:val="none"/>
        </w:rPr>
        <w:t>或存在明显瑕疵</w:t>
      </w:r>
      <w:r>
        <w:rPr>
          <w:rFonts w:ascii="宋体" w:hAnsi="宋体"/>
          <w:color w:val="auto"/>
          <w:sz w:val="24"/>
          <w:szCs w:val="24"/>
          <w:highlight w:val="none"/>
        </w:rPr>
        <w:t>1</w:t>
      </w:r>
      <w:r>
        <w:rPr>
          <w:rFonts w:hint="eastAsia" w:ascii="宋体" w:hAnsi="宋体"/>
          <w:color w:val="auto"/>
          <w:sz w:val="24"/>
          <w:szCs w:val="24"/>
          <w:highlight w:val="none"/>
        </w:rPr>
        <w:t>处的得3分；若有2项及以上内容未完善或存在明显瑕疵</w:t>
      </w:r>
      <w:r>
        <w:rPr>
          <w:rFonts w:ascii="宋体" w:hAnsi="宋体"/>
          <w:color w:val="auto"/>
          <w:sz w:val="24"/>
          <w:szCs w:val="24"/>
          <w:highlight w:val="none"/>
        </w:rPr>
        <w:t>2</w:t>
      </w:r>
      <w:r>
        <w:rPr>
          <w:rFonts w:hint="eastAsia" w:ascii="宋体" w:hAnsi="宋体"/>
          <w:color w:val="auto"/>
          <w:sz w:val="24"/>
          <w:szCs w:val="24"/>
          <w:highlight w:val="none"/>
        </w:rPr>
        <w:t>处及以上的得2分，未提供方案不得分。</w:t>
      </w:r>
    </w:p>
    <w:p w14:paraId="59A9FF5A">
      <w:pPr>
        <w:spacing w:line="440" w:lineRule="exact"/>
        <w:ind w:firstLine="480" w:firstLineChars="200"/>
        <w:rPr>
          <w:rFonts w:ascii="宋体" w:hAnsi="宋体"/>
          <w:color w:val="auto"/>
          <w:sz w:val="24"/>
          <w:szCs w:val="24"/>
          <w:highlight w:val="none"/>
        </w:rPr>
      </w:pPr>
      <w:r>
        <w:rPr>
          <w:rFonts w:ascii="宋体" w:hAnsi="宋体"/>
          <w:color w:val="auto"/>
          <w:sz w:val="24"/>
          <w:szCs w:val="24"/>
          <w:highlight w:val="none"/>
        </w:rPr>
        <w:t>7.</w:t>
      </w:r>
      <w:r>
        <w:rPr>
          <w:rFonts w:hint="eastAsia" w:ascii="宋体" w:hAnsi="宋体"/>
          <w:color w:val="auto"/>
          <w:sz w:val="24"/>
          <w:szCs w:val="24"/>
          <w:highlight w:val="none"/>
        </w:rPr>
        <w:t>针对食品/消防安全的培训方案及实施细则（4分）</w:t>
      </w:r>
    </w:p>
    <w:p w14:paraId="5A7D1FF3">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食品安全培训方案</w:t>
      </w:r>
    </w:p>
    <w:p w14:paraId="15C14FD7">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食品安全实施细则</w:t>
      </w:r>
    </w:p>
    <w:p w14:paraId="23CC5AC6">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消防安全培训方案</w:t>
      </w:r>
    </w:p>
    <w:p w14:paraId="79141175">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消防安全实施细则</w:t>
      </w:r>
    </w:p>
    <w:p w14:paraId="78B69CD6">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根据方案定位的准确性、表述的完整性、条理性、目标的合理性、与食堂服务需求贴合程度进行打分：以上内容全部完备且无明显瑕疵的，得4分；若有1</w:t>
      </w:r>
      <w:r>
        <w:rPr>
          <w:rFonts w:ascii="宋体" w:hAnsi="宋体"/>
          <w:color w:val="auto"/>
          <w:sz w:val="24"/>
          <w:szCs w:val="24"/>
          <w:highlight w:val="none"/>
        </w:rPr>
        <w:t>项内容不够完善</w:t>
      </w:r>
      <w:r>
        <w:rPr>
          <w:rFonts w:hint="eastAsia" w:ascii="宋体" w:hAnsi="宋体"/>
          <w:color w:val="auto"/>
          <w:sz w:val="24"/>
          <w:szCs w:val="24"/>
          <w:highlight w:val="none"/>
        </w:rPr>
        <w:t>或存在明显瑕疵</w:t>
      </w:r>
      <w:r>
        <w:rPr>
          <w:rFonts w:ascii="宋体" w:hAnsi="宋体"/>
          <w:color w:val="auto"/>
          <w:sz w:val="24"/>
          <w:szCs w:val="24"/>
          <w:highlight w:val="none"/>
        </w:rPr>
        <w:t>1</w:t>
      </w:r>
      <w:r>
        <w:rPr>
          <w:rFonts w:hint="eastAsia" w:ascii="宋体" w:hAnsi="宋体"/>
          <w:color w:val="auto"/>
          <w:sz w:val="24"/>
          <w:szCs w:val="24"/>
          <w:highlight w:val="none"/>
        </w:rPr>
        <w:t>处的得3分；若有2项及以上内容未完善或存在明显瑕疵</w:t>
      </w:r>
      <w:r>
        <w:rPr>
          <w:rFonts w:ascii="宋体" w:hAnsi="宋体"/>
          <w:color w:val="auto"/>
          <w:sz w:val="24"/>
          <w:szCs w:val="24"/>
          <w:highlight w:val="none"/>
        </w:rPr>
        <w:t>2</w:t>
      </w:r>
      <w:r>
        <w:rPr>
          <w:rFonts w:hint="eastAsia" w:ascii="宋体" w:hAnsi="宋体"/>
          <w:color w:val="auto"/>
          <w:sz w:val="24"/>
          <w:szCs w:val="24"/>
          <w:highlight w:val="none"/>
        </w:rPr>
        <w:t>处及以上的得2分，未提供方案不得分。</w:t>
      </w:r>
    </w:p>
    <w:p w14:paraId="2CA11D6E">
      <w:pPr>
        <w:spacing w:line="440" w:lineRule="exact"/>
        <w:ind w:firstLine="480" w:firstLineChars="200"/>
        <w:rPr>
          <w:rFonts w:ascii="宋体" w:hAnsi="宋体"/>
          <w:color w:val="auto"/>
          <w:sz w:val="24"/>
          <w:szCs w:val="24"/>
          <w:highlight w:val="none"/>
        </w:rPr>
      </w:pPr>
      <w:r>
        <w:rPr>
          <w:rFonts w:ascii="宋体" w:hAnsi="宋体"/>
          <w:color w:val="auto"/>
          <w:sz w:val="24"/>
          <w:szCs w:val="24"/>
          <w:highlight w:val="none"/>
        </w:rPr>
        <w:t>8.</w:t>
      </w:r>
      <w:r>
        <w:rPr>
          <w:rFonts w:hint="eastAsia" w:ascii="宋体" w:hAnsi="宋体"/>
          <w:color w:val="auto"/>
          <w:sz w:val="24"/>
          <w:szCs w:val="24"/>
          <w:highlight w:val="none"/>
        </w:rPr>
        <w:t>特色创新服务和增值服务方案（3分）</w:t>
      </w:r>
    </w:p>
    <w:p w14:paraId="6ECDEDB7">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a.特色创新服务</w:t>
      </w:r>
    </w:p>
    <w:p w14:paraId="42E6D3F0">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b.增值服务方案</w:t>
      </w:r>
    </w:p>
    <w:p w14:paraId="1C1664EF">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根据方案定位的准确性、表述的完整性、条理性、目标的合理性、与食堂服务需求贴合程度进行打分：以上内容全部完备且无明显瑕疵的，得3分；若有1</w:t>
      </w:r>
      <w:r>
        <w:rPr>
          <w:rFonts w:ascii="宋体" w:hAnsi="宋体"/>
          <w:color w:val="auto"/>
          <w:sz w:val="24"/>
          <w:szCs w:val="24"/>
          <w:highlight w:val="none"/>
        </w:rPr>
        <w:t>项内容不够完善</w:t>
      </w:r>
      <w:r>
        <w:rPr>
          <w:rFonts w:hint="eastAsia" w:ascii="宋体" w:hAnsi="宋体"/>
          <w:color w:val="auto"/>
          <w:sz w:val="24"/>
          <w:szCs w:val="24"/>
          <w:highlight w:val="none"/>
        </w:rPr>
        <w:t>或存在明显瑕疵</w:t>
      </w:r>
      <w:r>
        <w:rPr>
          <w:rFonts w:ascii="宋体" w:hAnsi="宋体"/>
          <w:color w:val="auto"/>
          <w:sz w:val="24"/>
          <w:szCs w:val="24"/>
          <w:highlight w:val="none"/>
        </w:rPr>
        <w:t>1</w:t>
      </w:r>
      <w:r>
        <w:rPr>
          <w:rFonts w:hint="eastAsia" w:ascii="宋体" w:hAnsi="宋体"/>
          <w:color w:val="auto"/>
          <w:sz w:val="24"/>
          <w:szCs w:val="24"/>
          <w:highlight w:val="none"/>
        </w:rPr>
        <w:t>处的得2分；若有2项及以上内容未完善或存在明显瑕疵</w:t>
      </w:r>
      <w:r>
        <w:rPr>
          <w:rFonts w:ascii="宋体" w:hAnsi="宋体"/>
          <w:color w:val="auto"/>
          <w:sz w:val="24"/>
          <w:szCs w:val="24"/>
          <w:highlight w:val="none"/>
        </w:rPr>
        <w:t>2</w:t>
      </w:r>
      <w:r>
        <w:rPr>
          <w:rFonts w:hint="eastAsia" w:ascii="宋体" w:hAnsi="宋体"/>
          <w:color w:val="auto"/>
          <w:sz w:val="24"/>
          <w:szCs w:val="24"/>
          <w:highlight w:val="none"/>
        </w:rPr>
        <w:t>处及以上的得1分，未提供方案不得分。</w:t>
      </w:r>
    </w:p>
    <w:p w14:paraId="3CB6C9E0">
      <w:pPr>
        <w:spacing w:line="440" w:lineRule="exact"/>
        <w:ind w:firstLine="480" w:firstLineChars="200"/>
        <w:rPr>
          <w:rFonts w:ascii="宋体" w:hAnsi="宋体"/>
          <w:color w:val="auto"/>
          <w:sz w:val="24"/>
          <w:szCs w:val="24"/>
          <w:highlight w:val="none"/>
        </w:rPr>
      </w:pPr>
      <w:r>
        <w:rPr>
          <w:rFonts w:ascii="宋体" w:hAnsi="宋体"/>
          <w:color w:val="auto"/>
          <w:sz w:val="24"/>
          <w:szCs w:val="24"/>
          <w:highlight w:val="none"/>
        </w:rPr>
        <w:t>9.</w:t>
      </w:r>
      <w:r>
        <w:rPr>
          <w:rFonts w:hint="eastAsia" w:ascii="宋体" w:hAnsi="宋体"/>
          <w:color w:val="auto"/>
          <w:sz w:val="24"/>
          <w:szCs w:val="24"/>
          <w:highlight w:val="none"/>
        </w:rPr>
        <w:t>过失及意外保障措施（</w:t>
      </w:r>
      <w:r>
        <w:rPr>
          <w:rFonts w:ascii="宋体" w:hAnsi="宋体"/>
          <w:color w:val="auto"/>
          <w:sz w:val="24"/>
          <w:szCs w:val="24"/>
          <w:highlight w:val="none"/>
        </w:rPr>
        <w:t>3</w:t>
      </w:r>
      <w:r>
        <w:rPr>
          <w:rFonts w:hint="eastAsia" w:ascii="宋体" w:hAnsi="宋体"/>
          <w:color w:val="auto"/>
          <w:sz w:val="24"/>
          <w:szCs w:val="24"/>
          <w:highlight w:val="none"/>
        </w:rPr>
        <w:t>分）</w:t>
      </w:r>
    </w:p>
    <w:p w14:paraId="2FE3CE06">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a.过失保障措施</w:t>
      </w:r>
    </w:p>
    <w:p w14:paraId="64DDBD60">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b.意外保障措施</w:t>
      </w:r>
    </w:p>
    <w:p w14:paraId="7E777D8E">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根据方案定位的准确性、表述的完整性、条理性、目标的合理性、与食堂服务需求贴合程度进行打分：以上内容全部完备且无明显瑕疵的，得</w:t>
      </w:r>
      <w:r>
        <w:rPr>
          <w:rFonts w:ascii="宋体" w:hAnsi="宋体"/>
          <w:color w:val="auto"/>
          <w:sz w:val="24"/>
          <w:szCs w:val="24"/>
          <w:highlight w:val="none"/>
        </w:rPr>
        <w:t>3</w:t>
      </w:r>
      <w:r>
        <w:rPr>
          <w:rFonts w:hint="eastAsia" w:ascii="宋体" w:hAnsi="宋体"/>
          <w:color w:val="auto"/>
          <w:sz w:val="24"/>
          <w:szCs w:val="24"/>
          <w:highlight w:val="none"/>
        </w:rPr>
        <w:t>分；若有1</w:t>
      </w:r>
      <w:r>
        <w:rPr>
          <w:rFonts w:ascii="宋体" w:hAnsi="宋体"/>
          <w:color w:val="auto"/>
          <w:sz w:val="24"/>
          <w:szCs w:val="24"/>
          <w:highlight w:val="none"/>
        </w:rPr>
        <w:t>项内容不够完善</w:t>
      </w:r>
      <w:r>
        <w:rPr>
          <w:rFonts w:hint="eastAsia" w:ascii="宋体" w:hAnsi="宋体"/>
          <w:color w:val="auto"/>
          <w:sz w:val="24"/>
          <w:szCs w:val="24"/>
          <w:highlight w:val="none"/>
        </w:rPr>
        <w:t>或存在明显瑕疵</w:t>
      </w:r>
      <w:r>
        <w:rPr>
          <w:rFonts w:ascii="宋体" w:hAnsi="宋体"/>
          <w:color w:val="auto"/>
          <w:sz w:val="24"/>
          <w:szCs w:val="24"/>
          <w:highlight w:val="none"/>
        </w:rPr>
        <w:t>1</w:t>
      </w:r>
      <w:r>
        <w:rPr>
          <w:rFonts w:hint="eastAsia" w:ascii="宋体" w:hAnsi="宋体"/>
          <w:color w:val="auto"/>
          <w:sz w:val="24"/>
          <w:szCs w:val="24"/>
          <w:highlight w:val="none"/>
        </w:rPr>
        <w:t>处的得</w:t>
      </w:r>
      <w:r>
        <w:rPr>
          <w:rFonts w:ascii="宋体" w:hAnsi="宋体"/>
          <w:color w:val="auto"/>
          <w:sz w:val="24"/>
          <w:szCs w:val="24"/>
          <w:highlight w:val="none"/>
        </w:rPr>
        <w:t>2</w:t>
      </w:r>
      <w:r>
        <w:rPr>
          <w:rFonts w:hint="eastAsia" w:ascii="宋体" w:hAnsi="宋体"/>
          <w:color w:val="auto"/>
          <w:sz w:val="24"/>
          <w:szCs w:val="24"/>
          <w:highlight w:val="none"/>
        </w:rPr>
        <w:t>分；若有2项及以上内容未完善或存在明显瑕疵</w:t>
      </w:r>
      <w:r>
        <w:rPr>
          <w:rFonts w:ascii="宋体" w:hAnsi="宋体"/>
          <w:color w:val="auto"/>
          <w:sz w:val="24"/>
          <w:szCs w:val="24"/>
          <w:highlight w:val="none"/>
        </w:rPr>
        <w:t>2</w:t>
      </w:r>
      <w:r>
        <w:rPr>
          <w:rFonts w:hint="eastAsia" w:ascii="宋体" w:hAnsi="宋体"/>
          <w:color w:val="auto"/>
          <w:sz w:val="24"/>
          <w:szCs w:val="24"/>
          <w:highlight w:val="none"/>
        </w:rPr>
        <w:t>处及以上的得</w:t>
      </w:r>
      <w:r>
        <w:rPr>
          <w:rFonts w:ascii="宋体" w:hAnsi="宋体"/>
          <w:color w:val="auto"/>
          <w:sz w:val="24"/>
          <w:szCs w:val="24"/>
          <w:highlight w:val="none"/>
        </w:rPr>
        <w:t>1</w:t>
      </w:r>
      <w:r>
        <w:rPr>
          <w:rFonts w:hint="eastAsia" w:ascii="宋体" w:hAnsi="宋体"/>
          <w:color w:val="auto"/>
          <w:sz w:val="24"/>
          <w:szCs w:val="24"/>
          <w:highlight w:val="none"/>
        </w:rPr>
        <w:t>分，未提供方案不得分。</w:t>
      </w:r>
    </w:p>
    <w:p w14:paraId="729DDBB8">
      <w:pPr>
        <w:spacing w:line="440" w:lineRule="exact"/>
        <w:ind w:firstLine="480" w:firstLineChars="200"/>
        <w:rPr>
          <w:color w:val="auto"/>
          <w:highlight w:val="none"/>
        </w:rPr>
      </w:pPr>
      <w:r>
        <w:rPr>
          <w:rFonts w:hint="eastAsia" w:ascii="宋体" w:hAnsi="宋体"/>
          <w:color w:val="auto"/>
          <w:sz w:val="24"/>
          <w:szCs w:val="24"/>
          <w:highlight w:val="none"/>
        </w:rPr>
        <w:t>备注：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14:paraId="4962A6AE">
      <w:pPr>
        <w:shd w:val="clear" w:color="auto"/>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 评分办法及评分细则的解释权属采购人。未列入本评分细则的其他条件不作为评分内容。</w:t>
      </w:r>
    </w:p>
    <w:p w14:paraId="742FB9ED">
      <w:pPr>
        <w:shd w:val="clear" w:color="auto"/>
        <w:spacing w:line="360" w:lineRule="auto"/>
        <w:ind w:left="-2" w:firstLine="420"/>
        <w:outlineLvl w:val="0"/>
        <w:rPr>
          <w:rFonts w:ascii="宋体" w:hAnsi="宋体" w:cs="宋体"/>
          <w:b/>
          <w:color w:val="auto"/>
          <w:sz w:val="24"/>
          <w:highlight w:val="none"/>
        </w:rPr>
      </w:pPr>
      <w:r>
        <w:rPr>
          <w:rFonts w:hint="eastAsia" w:ascii="宋体" w:hAnsi="宋体" w:cs="宋体"/>
          <w:b/>
          <w:color w:val="auto"/>
          <w:sz w:val="24"/>
          <w:highlight w:val="none"/>
        </w:rPr>
        <w:t>（十）定标：</w:t>
      </w:r>
    </w:p>
    <w:p w14:paraId="592922FB">
      <w:pPr>
        <w:shd w:val="clear" w:color="auto"/>
        <w:tabs>
          <w:tab w:val="left" w:pos="525"/>
          <w:tab w:val="left" w:pos="1155"/>
        </w:tabs>
        <w:spacing w:line="400" w:lineRule="exact"/>
        <w:ind w:firstLine="480"/>
        <w:rPr>
          <w:rFonts w:ascii="宋体" w:hAnsi="宋体" w:cs="宋体"/>
          <w:bCs/>
          <w:color w:val="auto"/>
          <w:sz w:val="24"/>
          <w:highlight w:val="none"/>
        </w:rPr>
      </w:pPr>
      <w:r>
        <w:rPr>
          <w:rFonts w:hint="eastAsia" w:ascii="宋体" w:hAnsi="宋体" w:cs="宋体"/>
          <w:bCs/>
          <w:color w:val="auto"/>
          <w:sz w:val="24"/>
          <w:highlight w:val="none"/>
        </w:rPr>
        <w:t>1.评标委员会根据招标文件规定的评标方法和评标标准进行评审，按招标文件的要求在3家中标候选单位中，依法确定中标投标供应商。</w:t>
      </w:r>
      <w:r>
        <w:rPr>
          <w:rFonts w:hint="eastAsia" w:ascii="宋体" w:hAnsi="宋体" w:cs="宋体"/>
          <w:bCs/>
          <w:color w:val="auto"/>
          <w:sz w:val="24"/>
          <w:highlight w:val="none"/>
          <w:lang w:eastAsia="zh-CN"/>
        </w:rPr>
        <w:t>北京中昌工程咨询有限公司</w:t>
      </w:r>
      <w:r>
        <w:rPr>
          <w:rFonts w:hint="eastAsia" w:ascii="宋体" w:hAnsi="宋体" w:cs="宋体"/>
          <w:bCs/>
          <w:color w:val="auto"/>
          <w:sz w:val="24"/>
          <w:highlight w:val="none"/>
        </w:rPr>
        <w:t>将在</w:t>
      </w:r>
      <w:r>
        <w:rPr>
          <w:rFonts w:hint="eastAsia" w:ascii="宋体" w:hAnsi="宋体" w:cs="宋体"/>
          <w:b/>
          <w:color w:val="auto"/>
          <w:sz w:val="24"/>
          <w:highlight w:val="none"/>
        </w:rPr>
        <w:t>江苏政府采购网</w:t>
      </w:r>
      <w:r>
        <w:rPr>
          <w:rFonts w:hint="eastAsia" w:ascii="宋体" w:hAnsi="宋体" w:cs="宋体"/>
          <w:bCs/>
          <w:color w:val="auto"/>
          <w:sz w:val="24"/>
          <w:highlight w:val="none"/>
        </w:rPr>
        <w:t>上发布中标公告。如有质疑，应在法定质疑期限内，即中标公告期限届满之日起7个工作日内，以一次性书面形式送达</w:t>
      </w:r>
      <w:r>
        <w:rPr>
          <w:rFonts w:hint="eastAsia" w:ascii="宋体" w:hAnsi="宋体" w:cs="宋体"/>
          <w:bCs/>
          <w:color w:val="auto"/>
          <w:sz w:val="24"/>
          <w:highlight w:val="none"/>
          <w:lang w:eastAsia="zh-CN"/>
        </w:rPr>
        <w:t>北京中昌工程咨询有限公司</w:t>
      </w:r>
      <w:r>
        <w:rPr>
          <w:rFonts w:hint="eastAsia" w:ascii="宋体" w:hAnsi="宋体" w:cs="宋体"/>
          <w:bCs/>
          <w:color w:val="auto"/>
          <w:sz w:val="24"/>
          <w:highlight w:val="none"/>
        </w:rPr>
        <w:t>。</w:t>
      </w:r>
      <w:r>
        <w:rPr>
          <w:rFonts w:hint="eastAsia" w:ascii="宋体" w:hAnsi="宋体" w:cs="宋体"/>
          <w:bCs/>
          <w:color w:val="auto"/>
          <w:sz w:val="24"/>
          <w:highlight w:val="none"/>
          <w:lang w:eastAsia="zh-CN"/>
        </w:rPr>
        <w:t>北京中昌工程咨询有限公司</w:t>
      </w:r>
      <w:r>
        <w:rPr>
          <w:rFonts w:hint="eastAsia" w:ascii="宋体" w:hAnsi="宋体" w:cs="宋体"/>
          <w:bCs/>
          <w:color w:val="auto"/>
          <w:sz w:val="24"/>
          <w:highlight w:val="none"/>
        </w:rPr>
        <w:t>在收到符合要求的书面质疑后七个工作日内，对质疑内容作出答复。投标供应商在法定质疑期限外送达的质疑函或法定质疑期限内送达的质疑函不符合上述要求的均为无效质疑，</w:t>
      </w:r>
      <w:r>
        <w:rPr>
          <w:rFonts w:hint="eastAsia" w:ascii="宋体" w:hAnsi="宋体" w:cs="宋体"/>
          <w:bCs/>
          <w:color w:val="auto"/>
          <w:sz w:val="24"/>
          <w:highlight w:val="none"/>
          <w:lang w:eastAsia="zh-CN"/>
        </w:rPr>
        <w:t>北京中昌工程咨询有限公司</w:t>
      </w:r>
      <w:r>
        <w:rPr>
          <w:rFonts w:hint="eastAsia" w:ascii="宋体" w:hAnsi="宋体" w:cs="宋体"/>
          <w:bCs/>
          <w:color w:val="auto"/>
          <w:sz w:val="24"/>
          <w:highlight w:val="none"/>
        </w:rPr>
        <w:t>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p>
    <w:p w14:paraId="5C1A1385">
      <w:pPr>
        <w:shd w:val="clear" w:color="auto"/>
        <w:tabs>
          <w:tab w:val="left" w:pos="525"/>
          <w:tab w:val="left" w:pos="1155"/>
        </w:tabs>
        <w:spacing w:line="400" w:lineRule="exact"/>
        <w:ind w:firstLine="480"/>
        <w:rPr>
          <w:rFonts w:ascii="宋体" w:hAnsi="宋体" w:cs="宋体"/>
          <w:bCs/>
          <w:color w:val="auto"/>
          <w:sz w:val="24"/>
          <w:highlight w:val="none"/>
        </w:rPr>
      </w:pPr>
      <w:r>
        <w:rPr>
          <w:rFonts w:hint="eastAsia" w:ascii="宋体" w:hAnsi="宋体" w:cs="宋体"/>
          <w:bCs/>
          <w:color w:val="auto"/>
          <w:sz w:val="24"/>
          <w:highlight w:val="none"/>
        </w:rPr>
        <w:t>2.采购人或者采购代理机构对开标、评标现场活动进行全程录音录像。</w:t>
      </w:r>
    </w:p>
    <w:p w14:paraId="01799592">
      <w:pPr>
        <w:shd w:val="clear" w:color="auto"/>
        <w:tabs>
          <w:tab w:val="left" w:pos="525"/>
          <w:tab w:val="left" w:pos="1050"/>
          <w:tab w:val="left" w:pos="115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3.在发布中标公告的同时，</w:t>
      </w:r>
      <w:r>
        <w:rPr>
          <w:rFonts w:hint="eastAsia" w:ascii="宋体" w:hAnsi="宋体" w:cs="宋体"/>
          <w:bCs/>
          <w:color w:val="auto"/>
          <w:sz w:val="24"/>
          <w:highlight w:val="none"/>
          <w:lang w:eastAsia="zh-CN"/>
        </w:rPr>
        <w:t>北京中昌工程咨询有限公司</w:t>
      </w:r>
      <w:r>
        <w:rPr>
          <w:rFonts w:hint="eastAsia" w:ascii="宋体" w:hAnsi="宋体" w:cs="宋体"/>
          <w:bCs/>
          <w:color w:val="auto"/>
          <w:sz w:val="24"/>
          <w:highlight w:val="none"/>
        </w:rPr>
        <w:t>将向中标供应商发出中标通知书。</w:t>
      </w:r>
    </w:p>
    <w:p w14:paraId="585AD992">
      <w:pPr>
        <w:shd w:val="clear" w:color="auto"/>
        <w:spacing w:line="360" w:lineRule="auto"/>
        <w:ind w:left="-2" w:firstLine="420"/>
        <w:outlineLvl w:val="0"/>
        <w:rPr>
          <w:rFonts w:ascii="宋体" w:hAnsi="宋体" w:cs="宋体"/>
          <w:b/>
          <w:color w:val="auto"/>
          <w:sz w:val="24"/>
          <w:highlight w:val="none"/>
        </w:rPr>
      </w:pPr>
      <w:r>
        <w:rPr>
          <w:rFonts w:hint="eastAsia" w:ascii="宋体" w:hAnsi="宋体" w:cs="宋体"/>
          <w:b/>
          <w:color w:val="auto"/>
          <w:sz w:val="24"/>
          <w:highlight w:val="none"/>
        </w:rPr>
        <w:t>（十一）废标的确认：</w:t>
      </w:r>
    </w:p>
    <w:p w14:paraId="2DE0ACF3">
      <w:pPr>
        <w:shd w:val="clear" w:color="auto"/>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在招标采购中，出现下列情况之一的，应予废标：</w:t>
      </w:r>
    </w:p>
    <w:p w14:paraId="627D803B">
      <w:pPr>
        <w:shd w:val="clear" w:color="auto"/>
        <w:tabs>
          <w:tab w:val="left" w:pos="525"/>
          <w:tab w:val="left" w:pos="1155"/>
          <w:tab w:val="left" w:pos="1260"/>
        </w:tabs>
        <w:spacing w:line="360" w:lineRule="auto"/>
        <w:ind w:firstLine="600"/>
        <w:rPr>
          <w:rFonts w:ascii="宋体" w:hAnsi="宋体" w:cs="宋体"/>
          <w:bCs/>
          <w:color w:val="auto"/>
          <w:sz w:val="24"/>
          <w:highlight w:val="none"/>
        </w:rPr>
      </w:pPr>
      <w:r>
        <w:rPr>
          <w:rFonts w:hint="eastAsia" w:ascii="宋体" w:hAnsi="宋体" w:cs="宋体"/>
          <w:bCs/>
          <w:color w:val="auto"/>
          <w:sz w:val="24"/>
          <w:highlight w:val="none"/>
        </w:rPr>
        <w:t>1.符合专业条件的投标供应商或者对采购文件作出实质性响应的投标供应商不足三家；</w:t>
      </w:r>
    </w:p>
    <w:p w14:paraId="3FA2776E">
      <w:pPr>
        <w:shd w:val="clear" w:color="auto"/>
        <w:tabs>
          <w:tab w:val="left" w:pos="525"/>
          <w:tab w:val="left" w:pos="1155"/>
          <w:tab w:val="left" w:pos="126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2.出现影响采购公正的违法、违规行为；</w:t>
      </w:r>
    </w:p>
    <w:p w14:paraId="3CBD78CD">
      <w:pPr>
        <w:shd w:val="clear" w:color="auto"/>
        <w:tabs>
          <w:tab w:val="left" w:pos="525"/>
          <w:tab w:val="left" w:pos="1155"/>
          <w:tab w:val="left" w:pos="126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3.投标供应商的报价均超过采购预算，采购人不能支付的；</w:t>
      </w:r>
    </w:p>
    <w:p w14:paraId="77770AAF">
      <w:pPr>
        <w:shd w:val="clear" w:color="auto"/>
        <w:tabs>
          <w:tab w:val="right" w:pos="180"/>
          <w:tab w:val="left" w:pos="525"/>
          <w:tab w:val="left" w:pos="1155"/>
          <w:tab w:val="left" w:pos="126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4.因重大变故，招标任务取消。</w:t>
      </w:r>
    </w:p>
    <w:p w14:paraId="42472CF2">
      <w:pPr>
        <w:shd w:val="clear" w:color="auto"/>
        <w:spacing w:line="360" w:lineRule="auto"/>
        <w:ind w:left="-2" w:firstLine="420"/>
        <w:outlineLvl w:val="0"/>
        <w:rPr>
          <w:rFonts w:ascii="宋体" w:hAnsi="宋体" w:cs="宋体"/>
          <w:bCs/>
          <w:color w:val="auto"/>
          <w:sz w:val="24"/>
          <w:highlight w:val="none"/>
        </w:rPr>
      </w:pPr>
      <w:r>
        <w:rPr>
          <w:rFonts w:hint="eastAsia" w:ascii="宋体" w:hAnsi="宋体" w:cs="宋体"/>
          <w:bCs/>
          <w:color w:val="auto"/>
          <w:sz w:val="24"/>
          <w:highlight w:val="none"/>
        </w:rPr>
        <w:t>（十二）中标无效的确认：</w:t>
      </w:r>
    </w:p>
    <w:p w14:paraId="202A366F">
      <w:pPr>
        <w:shd w:val="clear" w:color="auto"/>
        <w:tabs>
          <w:tab w:val="left" w:pos="420"/>
        </w:tabs>
        <w:spacing w:line="360" w:lineRule="auto"/>
        <w:ind w:firstLine="720"/>
        <w:rPr>
          <w:rFonts w:ascii="宋体" w:hAnsi="宋体" w:cs="宋体"/>
          <w:bCs/>
          <w:color w:val="auto"/>
          <w:sz w:val="24"/>
          <w:highlight w:val="none"/>
        </w:rPr>
      </w:pPr>
      <w:r>
        <w:rPr>
          <w:rFonts w:hint="eastAsia" w:ascii="宋体" w:hAnsi="宋体" w:cs="宋体"/>
          <w:bCs/>
          <w:color w:val="auto"/>
          <w:sz w:val="24"/>
          <w:highlight w:val="none"/>
        </w:rPr>
        <w:t>1.提供虚假材料谋取中标的；</w:t>
      </w:r>
    </w:p>
    <w:p w14:paraId="1803906F">
      <w:pPr>
        <w:shd w:val="clear" w:color="auto"/>
        <w:tabs>
          <w:tab w:val="left" w:pos="420"/>
        </w:tabs>
        <w:spacing w:line="360" w:lineRule="auto"/>
        <w:ind w:firstLine="720"/>
        <w:rPr>
          <w:rFonts w:ascii="宋体" w:hAnsi="宋体" w:cs="宋体"/>
          <w:bCs/>
          <w:color w:val="auto"/>
          <w:sz w:val="24"/>
          <w:highlight w:val="none"/>
        </w:rPr>
      </w:pPr>
      <w:r>
        <w:rPr>
          <w:rFonts w:hint="eastAsia" w:ascii="宋体" w:hAnsi="宋体" w:cs="宋体"/>
          <w:bCs/>
          <w:color w:val="auto"/>
          <w:sz w:val="24"/>
          <w:highlight w:val="none"/>
        </w:rPr>
        <w:t>2.采取不正当手段诋毁、排挤其他投标供应商的；</w:t>
      </w:r>
    </w:p>
    <w:p w14:paraId="753EA259">
      <w:pPr>
        <w:shd w:val="clear" w:color="auto"/>
        <w:tabs>
          <w:tab w:val="left" w:pos="420"/>
          <w:tab w:val="left" w:pos="1140"/>
        </w:tabs>
        <w:spacing w:line="360" w:lineRule="auto"/>
        <w:ind w:firstLine="720"/>
        <w:rPr>
          <w:rFonts w:ascii="宋体" w:hAnsi="宋体" w:cs="宋体"/>
          <w:bCs/>
          <w:color w:val="auto"/>
          <w:sz w:val="24"/>
          <w:highlight w:val="none"/>
        </w:rPr>
      </w:pPr>
      <w:r>
        <w:rPr>
          <w:rFonts w:hint="eastAsia" w:ascii="宋体" w:hAnsi="宋体" w:cs="宋体"/>
          <w:bCs/>
          <w:color w:val="auto"/>
          <w:sz w:val="24"/>
          <w:highlight w:val="none"/>
        </w:rPr>
        <w:t>3.与招标采购单位、其他投标供应商恶意串通的；</w:t>
      </w:r>
    </w:p>
    <w:p w14:paraId="32A0C04A">
      <w:pPr>
        <w:shd w:val="clear" w:color="auto"/>
        <w:tabs>
          <w:tab w:val="left" w:pos="420"/>
          <w:tab w:val="left" w:pos="1140"/>
        </w:tabs>
        <w:spacing w:line="360" w:lineRule="auto"/>
        <w:ind w:firstLine="720"/>
        <w:rPr>
          <w:rFonts w:ascii="宋体" w:hAnsi="宋体" w:cs="宋体"/>
          <w:bCs/>
          <w:color w:val="auto"/>
          <w:sz w:val="24"/>
          <w:highlight w:val="none"/>
        </w:rPr>
      </w:pPr>
      <w:r>
        <w:rPr>
          <w:rFonts w:hint="eastAsia" w:ascii="宋体" w:hAnsi="宋体" w:cs="宋体"/>
          <w:bCs/>
          <w:color w:val="auto"/>
          <w:sz w:val="24"/>
          <w:highlight w:val="none"/>
        </w:rPr>
        <w:t>4.向招标采购单位行贿或者提供其他不正当利益的；</w:t>
      </w:r>
    </w:p>
    <w:p w14:paraId="1570838E">
      <w:pPr>
        <w:shd w:val="clear" w:color="auto"/>
        <w:tabs>
          <w:tab w:val="left" w:pos="420"/>
          <w:tab w:val="left" w:pos="1140"/>
        </w:tabs>
        <w:spacing w:line="360" w:lineRule="auto"/>
        <w:ind w:firstLine="720"/>
        <w:rPr>
          <w:rFonts w:ascii="宋体" w:hAnsi="宋体" w:cs="宋体"/>
          <w:bCs/>
          <w:color w:val="auto"/>
          <w:sz w:val="24"/>
          <w:highlight w:val="none"/>
        </w:rPr>
      </w:pPr>
      <w:r>
        <w:rPr>
          <w:rFonts w:hint="eastAsia" w:ascii="宋体" w:hAnsi="宋体" w:cs="宋体"/>
          <w:bCs/>
          <w:color w:val="auto"/>
          <w:sz w:val="24"/>
          <w:highlight w:val="none"/>
        </w:rPr>
        <w:t>5.在招标过程中与招标采购单位进行协商谈判、不按照采购文件和中标供应商的投标文件订立合同，或者与采购人另行订立背离合同实质性内容的协议的；</w:t>
      </w:r>
    </w:p>
    <w:p w14:paraId="74E96C39">
      <w:pPr>
        <w:shd w:val="clear" w:color="auto"/>
        <w:tabs>
          <w:tab w:val="left" w:pos="420"/>
          <w:tab w:val="left" w:pos="1140"/>
        </w:tabs>
        <w:spacing w:line="360" w:lineRule="auto"/>
        <w:ind w:firstLine="720"/>
        <w:rPr>
          <w:rFonts w:ascii="宋体" w:hAnsi="宋体" w:cs="宋体"/>
          <w:bCs/>
          <w:color w:val="auto"/>
          <w:sz w:val="24"/>
          <w:highlight w:val="none"/>
        </w:rPr>
      </w:pPr>
      <w:r>
        <w:rPr>
          <w:rFonts w:hint="eastAsia" w:ascii="宋体" w:hAnsi="宋体" w:cs="宋体"/>
          <w:bCs/>
          <w:color w:val="auto"/>
          <w:sz w:val="24"/>
          <w:highlight w:val="none"/>
        </w:rPr>
        <w:t>6.拒绝有关部门监督检查或者提供虚假情况的。</w:t>
      </w:r>
    </w:p>
    <w:p w14:paraId="20625097">
      <w:pPr>
        <w:shd w:val="clear" w:color="auto"/>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116A0A33">
      <w:pPr>
        <w:shd w:val="clear" w:color="auto"/>
        <w:spacing w:line="360" w:lineRule="auto"/>
        <w:ind w:left="-2" w:firstLine="420"/>
        <w:outlineLvl w:val="0"/>
        <w:rPr>
          <w:rFonts w:ascii="宋体" w:hAnsi="宋体" w:cs="宋体"/>
          <w:b/>
          <w:color w:val="auto"/>
          <w:sz w:val="24"/>
          <w:highlight w:val="none"/>
        </w:rPr>
      </w:pPr>
      <w:r>
        <w:rPr>
          <w:rFonts w:hint="eastAsia" w:ascii="宋体" w:hAnsi="宋体" w:cs="宋体"/>
          <w:b/>
          <w:color w:val="auto"/>
          <w:sz w:val="24"/>
          <w:highlight w:val="none"/>
        </w:rPr>
        <w:t>（十三）签订、履行合同：</w:t>
      </w:r>
    </w:p>
    <w:p w14:paraId="212BA3F7">
      <w:pPr>
        <w:shd w:val="clear" w:color="auto"/>
        <w:tabs>
          <w:tab w:val="left" w:pos="525"/>
          <w:tab w:val="left" w:pos="1050"/>
        </w:tabs>
        <w:spacing w:line="360" w:lineRule="auto"/>
        <w:ind w:firstLine="480"/>
        <w:rPr>
          <w:rFonts w:ascii="宋体" w:hAnsi="宋体" w:cs="宋体"/>
          <w:color w:val="auto"/>
          <w:sz w:val="24"/>
          <w:highlight w:val="none"/>
        </w:rPr>
      </w:pPr>
      <w:r>
        <w:rPr>
          <w:rFonts w:hint="eastAsia" w:ascii="宋体" w:hAnsi="宋体" w:cs="宋体"/>
          <w:bCs/>
          <w:color w:val="auto"/>
          <w:sz w:val="24"/>
          <w:highlight w:val="none"/>
        </w:rPr>
        <w:t>1.采购人应当自中标通知书发出之日起三十日之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w:t>
      </w:r>
      <w:r>
        <w:rPr>
          <w:rFonts w:hint="eastAsia" w:ascii="宋体" w:hAnsi="宋体" w:cs="宋体"/>
          <w:bCs/>
          <w:color w:val="auto"/>
          <w:sz w:val="24"/>
          <w:highlight w:val="none"/>
          <w:lang w:eastAsia="zh-CN"/>
        </w:rPr>
        <w:t>北京中昌工程咨询有限公司</w:t>
      </w:r>
      <w:r>
        <w:rPr>
          <w:rFonts w:hint="eastAsia" w:ascii="宋体" w:hAnsi="宋体" w:cs="宋体"/>
          <w:bCs/>
          <w:color w:val="auto"/>
          <w:sz w:val="24"/>
          <w:highlight w:val="none"/>
        </w:rPr>
        <w:t>见证后生效。</w:t>
      </w:r>
    </w:p>
    <w:p w14:paraId="24822AE4">
      <w:pPr>
        <w:shd w:val="clear" w:color="auto"/>
        <w:spacing w:line="360" w:lineRule="auto"/>
        <w:ind w:firstLine="480"/>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eastAsia="zh-CN"/>
        </w:rPr>
        <w:t>北京中昌工程咨询有限公司</w:t>
      </w:r>
      <w:r>
        <w:rPr>
          <w:rFonts w:hint="eastAsia" w:ascii="宋体" w:hAnsi="宋体" w:cs="宋体"/>
          <w:color w:val="auto"/>
          <w:sz w:val="24"/>
          <w:highlight w:val="none"/>
        </w:rPr>
        <w:t>监督合同的履行。</w:t>
      </w:r>
      <w:r>
        <w:rPr>
          <w:rFonts w:hint="eastAsia" w:ascii="宋体" w:hAnsi="宋体" w:cs="宋体"/>
          <w:bCs/>
          <w:color w:val="auto"/>
          <w:sz w:val="24"/>
          <w:highlight w:val="none"/>
        </w:rPr>
        <w:t>中标方非因不可抗力未履行招、投标文件和合同规定的义务，一经查实，采购代理机构将根据具体情况提请政府采购管理部门作出相应处理。</w:t>
      </w:r>
    </w:p>
    <w:p w14:paraId="4561EDBE">
      <w:pPr>
        <w:shd w:val="clear" w:color="auto"/>
        <w:spacing w:line="360" w:lineRule="auto"/>
        <w:ind w:firstLine="480"/>
        <w:rPr>
          <w:rFonts w:ascii="宋体" w:hAnsi="宋体" w:cs="宋体"/>
          <w:b/>
          <w:color w:val="auto"/>
          <w:sz w:val="24"/>
          <w:highlight w:val="none"/>
        </w:rPr>
      </w:pPr>
      <w:r>
        <w:rPr>
          <w:rFonts w:hint="eastAsia" w:ascii="宋体" w:hAnsi="宋体" w:cs="宋体"/>
          <w:b/>
          <w:color w:val="auto"/>
          <w:sz w:val="24"/>
          <w:highlight w:val="none"/>
        </w:rPr>
        <w:t>（十四）政府采购信用担保：</w:t>
      </w:r>
    </w:p>
    <w:p w14:paraId="293F2464">
      <w:pPr>
        <w:shd w:val="clear" w:color="auto"/>
        <w:spacing w:line="360" w:lineRule="auto"/>
        <w:ind w:firstLine="480"/>
        <w:rPr>
          <w:rFonts w:ascii="宋体" w:hAnsi="宋体" w:cs="宋体"/>
          <w:color w:val="auto"/>
          <w:sz w:val="24"/>
          <w:highlight w:val="none"/>
        </w:rPr>
      </w:pPr>
      <w:r>
        <w:rPr>
          <w:rFonts w:hint="eastAsia" w:ascii="宋体" w:hAnsi="宋体" w:cs="宋体"/>
          <w:color w:val="auto"/>
          <w:sz w:val="24"/>
          <w:highlight w:val="none"/>
        </w:rPr>
        <w:t>政府采购信用担保，是由专业担保机构为供应商向采购人、代理机构、金融机构提供的保证，主要包括履约担保。供应商可以根据自身情况，自行决定是否选择信用担保形式。</w:t>
      </w:r>
    </w:p>
    <w:p w14:paraId="13AFE5A7">
      <w:pPr>
        <w:shd w:val="clear" w:color="auto"/>
        <w:spacing w:line="360" w:lineRule="auto"/>
        <w:ind w:firstLine="480"/>
        <w:rPr>
          <w:rFonts w:ascii="宋体" w:hAnsi="宋体" w:cs="宋体"/>
          <w:color w:val="auto"/>
          <w:sz w:val="24"/>
          <w:highlight w:val="none"/>
        </w:rPr>
      </w:pPr>
      <w:r>
        <w:rPr>
          <w:rFonts w:hint="eastAsia" w:ascii="宋体" w:hAnsi="宋体" w:cs="宋体"/>
          <w:color w:val="auto"/>
          <w:sz w:val="24"/>
          <w:highlight w:val="none"/>
        </w:rPr>
        <w:t>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2161B25D">
      <w:pPr>
        <w:shd w:val="clear" w:color="auto"/>
        <w:spacing w:line="360" w:lineRule="auto"/>
        <w:ind w:firstLine="480"/>
        <w:rPr>
          <w:rFonts w:ascii="宋体" w:hAnsi="宋体" w:cs="宋体"/>
          <w:color w:val="auto"/>
          <w:sz w:val="24"/>
          <w:highlight w:val="none"/>
        </w:rPr>
      </w:pPr>
      <w:r>
        <w:rPr>
          <w:rFonts w:hint="eastAsia" w:ascii="宋体" w:hAnsi="宋体" w:cs="宋体"/>
          <w:color w:val="auto"/>
          <w:sz w:val="24"/>
          <w:highlight w:val="none"/>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60128449">
      <w:pPr>
        <w:shd w:val="clear" w:color="auto"/>
        <w:spacing w:line="360" w:lineRule="auto"/>
        <w:ind w:firstLine="480"/>
        <w:rPr>
          <w:rFonts w:hint="eastAsia" w:ascii="宋体" w:hAnsi="宋体" w:cs="宋体"/>
          <w:b/>
          <w:color w:val="auto"/>
          <w:sz w:val="24"/>
          <w:highlight w:val="none"/>
        </w:rPr>
      </w:pPr>
      <w:r>
        <w:rPr>
          <w:rFonts w:hint="eastAsia" w:ascii="宋体" w:hAnsi="宋体" w:cs="宋体"/>
          <w:b/>
          <w:color w:val="auto"/>
          <w:sz w:val="24"/>
          <w:highlight w:val="none"/>
        </w:rPr>
        <w:t>（十五）电子履约保函</w:t>
      </w:r>
    </w:p>
    <w:p w14:paraId="7A7DF604">
      <w:pPr>
        <w:shd w:val="clear" w:color="auto"/>
        <w:spacing w:line="360" w:lineRule="auto"/>
        <w:ind w:firstLine="544"/>
        <w:rPr>
          <w:rFonts w:ascii="宋体" w:hAnsi="宋体"/>
          <w:bCs/>
          <w:color w:val="auto"/>
          <w:sz w:val="24"/>
          <w:highlight w:val="none"/>
        </w:rPr>
      </w:pPr>
      <w:r>
        <w:rPr>
          <w:rFonts w:hint="eastAsia" w:ascii="宋体" w:hAnsi="宋体"/>
          <w:bCs/>
          <w:color w:val="auto"/>
          <w:sz w:val="24"/>
          <w:highlight w:val="none"/>
        </w:rPr>
        <w:t>为深入贯彻落实《国务院办公厅关于印发〈政府采购领域</w:t>
      </w:r>
      <w:r>
        <w:rPr>
          <w:rFonts w:ascii="宋体" w:hAnsi="宋体"/>
          <w:bCs/>
          <w:color w:val="auto"/>
          <w:sz w:val="24"/>
          <w:highlight w:val="none"/>
        </w:rPr>
        <w:t>“整顿市场秩序、建设法规体系、促进产业发展”三年行动方案（</w:t>
      </w:r>
      <w:r>
        <w:rPr>
          <w:rFonts w:hint="eastAsia" w:ascii="宋体" w:hAnsi="宋体"/>
          <w:bCs/>
          <w:color w:val="auto"/>
          <w:sz w:val="24"/>
          <w:highlight w:val="none"/>
        </w:rPr>
        <w:t>2025</w:t>
      </w:r>
      <w:r>
        <w:rPr>
          <w:rFonts w:ascii="宋体" w:hAnsi="宋体"/>
          <w:bCs/>
          <w:color w:val="auto"/>
          <w:sz w:val="24"/>
          <w:highlight w:val="none"/>
        </w:rPr>
        <w:t>－2026年）〉的通知》（国办发〔</w:t>
      </w:r>
      <w:r>
        <w:rPr>
          <w:rFonts w:hint="eastAsia" w:ascii="宋体" w:hAnsi="宋体"/>
          <w:bCs/>
          <w:color w:val="auto"/>
          <w:sz w:val="24"/>
          <w:highlight w:val="none"/>
        </w:rPr>
        <w:t>2025</w:t>
      </w:r>
      <w:r>
        <w:rPr>
          <w:rFonts w:ascii="宋体" w:hAnsi="宋体"/>
          <w:bCs/>
          <w:color w:val="auto"/>
          <w:sz w:val="24"/>
          <w:highlight w:val="none"/>
        </w:rPr>
        <w:t>〕33号）精神，提升政府采购便利度，持续优化政府采购营商环境，现就进一步全面推广政府采购电子履约保函相关事项通知如下：</w:t>
      </w:r>
    </w:p>
    <w:p w14:paraId="0860F99C">
      <w:pPr>
        <w:shd w:val="clear" w:color="auto"/>
        <w:spacing w:line="360" w:lineRule="auto"/>
        <w:ind w:firstLine="544"/>
        <w:rPr>
          <w:rFonts w:ascii="宋体" w:hAnsi="宋体"/>
          <w:bCs/>
          <w:color w:val="auto"/>
          <w:sz w:val="24"/>
          <w:highlight w:val="none"/>
        </w:rPr>
      </w:pPr>
      <w:r>
        <w:rPr>
          <w:rFonts w:ascii="宋体" w:hAnsi="宋体"/>
          <w:bCs/>
          <w:color w:val="auto"/>
          <w:sz w:val="24"/>
          <w:highlight w:val="none"/>
        </w:rPr>
        <w:t>一、江苏省财政厅通过政府采购流程确定开鑫科技有限公司为“政府采购电子履约保函（保险）平台”提供系统技术服务。该平台可通过江苏省政府采购网、“苏采云”系统链接访问（首次使用需注册）。</w:t>
      </w:r>
    </w:p>
    <w:p w14:paraId="7D6F6F2F">
      <w:pPr>
        <w:shd w:val="clear" w:color="auto"/>
        <w:spacing w:line="360" w:lineRule="auto"/>
        <w:ind w:firstLine="544"/>
        <w:rPr>
          <w:rFonts w:ascii="宋体" w:hAnsi="宋体"/>
          <w:bCs/>
          <w:color w:val="auto"/>
          <w:sz w:val="24"/>
          <w:highlight w:val="none"/>
        </w:rPr>
      </w:pPr>
      <w:r>
        <w:rPr>
          <w:rFonts w:ascii="宋体" w:hAnsi="宋体"/>
          <w:bCs/>
          <w:color w:val="auto"/>
          <w:sz w:val="24"/>
          <w:highlight w:val="none"/>
        </w:rPr>
        <w:t>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p>
    <w:p w14:paraId="5339AFFE">
      <w:pPr>
        <w:shd w:val="clear" w:color="auto"/>
        <w:spacing w:line="360" w:lineRule="auto"/>
        <w:ind w:firstLine="544"/>
        <w:rPr>
          <w:rFonts w:ascii="宋体" w:hAnsi="宋体"/>
          <w:bCs/>
          <w:color w:val="auto"/>
          <w:sz w:val="24"/>
          <w:highlight w:val="none"/>
        </w:rPr>
      </w:pPr>
      <w:r>
        <w:rPr>
          <w:rFonts w:ascii="宋体" w:hAnsi="宋体"/>
          <w:bCs/>
          <w:color w:val="auto"/>
          <w:sz w:val="24"/>
          <w:highlight w:val="none"/>
        </w:rPr>
        <w:t>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p>
    <w:p w14:paraId="29616499">
      <w:pPr>
        <w:shd w:val="clear" w:color="auto"/>
        <w:spacing w:line="360" w:lineRule="auto"/>
        <w:ind w:firstLine="544"/>
        <w:rPr>
          <w:rFonts w:ascii="宋体" w:hAnsi="宋体"/>
          <w:bCs/>
          <w:color w:val="auto"/>
          <w:sz w:val="24"/>
          <w:highlight w:val="none"/>
        </w:rPr>
      </w:pPr>
      <w:r>
        <w:rPr>
          <w:rFonts w:ascii="宋体" w:hAnsi="宋体"/>
          <w:bCs/>
          <w:color w:val="auto"/>
          <w:sz w:val="24"/>
          <w:highlight w:val="none"/>
        </w:rPr>
        <w:t>四、电子履约保函与履约保证金、纸质保函具有同等法律效力</w:t>
      </w:r>
      <w:r>
        <w:rPr>
          <w:rFonts w:hint="eastAsia" w:ascii="宋体" w:hAnsi="宋体"/>
          <w:bCs/>
          <w:color w:val="auto"/>
          <w:sz w:val="24"/>
          <w:highlight w:val="none"/>
        </w:rPr>
        <w:t>。</w:t>
      </w:r>
    </w:p>
    <w:p w14:paraId="65CA7145">
      <w:pPr>
        <w:shd w:val="clear" w:color="auto"/>
        <w:spacing w:line="360" w:lineRule="auto"/>
        <w:ind w:firstLine="544"/>
        <w:rPr>
          <w:rFonts w:ascii="宋体" w:hAnsi="宋体" w:cs="宋体"/>
          <w:color w:val="auto"/>
          <w:sz w:val="24"/>
          <w:highlight w:val="none"/>
        </w:rPr>
      </w:pPr>
      <w:r>
        <w:rPr>
          <w:rFonts w:ascii="宋体" w:hAnsi="宋体"/>
          <w:bCs/>
          <w:color w:val="auto"/>
          <w:sz w:val="24"/>
          <w:highlight w:val="none"/>
        </w:rPr>
        <w:t>五、供应商可通过江苏政府采购网下载“政府采购电子履约保函（保险）操作手册”</w:t>
      </w:r>
      <w:r>
        <w:rPr>
          <w:rFonts w:hint="eastAsia" w:ascii="宋体" w:hAnsi="宋体"/>
          <w:bCs/>
          <w:color w:val="auto"/>
          <w:sz w:val="24"/>
          <w:highlight w:val="none"/>
        </w:rPr>
        <w:t>，</w:t>
      </w:r>
      <w:r>
        <w:rPr>
          <w:rFonts w:ascii="宋体" w:hAnsi="宋体"/>
          <w:bCs/>
          <w:color w:val="auto"/>
          <w:sz w:val="24"/>
          <w:highlight w:val="none"/>
        </w:rPr>
        <w:t>具体地址为：http://www.ccgp-jiangsu.gov.cn/jiangsu/zlxz/。</w:t>
      </w:r>
    </w:p>
    <w:p w14:paraId="6CE21374">
      <w:pPr>
        <w:shd w:val="clear" w:color="auto"/>
        <w:spacing w:line="360" w:lineRule="auto"/>
        <w:ind w:firstLine="480"/>
        <w:rPr>
          <w:rFonts w:ascii="宋体" w:hAnsi="宋体" w:cs="宋体"/>
          <w:b/>
          <w:bCs/>
          <w:color w:val="auto"/>
          <w:sz w:val="24"/>
          <w:highlight w:val="none"/>
        </w:rPr>
      </w:pPr>
      <w:r>
        <w:rPr>
          <w:rFonts w:hint="eastAsia" w:ascii="宋体" w:hAnsi="宋体" w:cs="宋体"/>
          <w:b/>
          <w:bCs/>
          <w:color w:val="auto"/>
          <w:sz w:val="24"/>
          <w:highlight w:val="none"/>
        </w:rPr>
        <w:t>（十六）政府采购合同融资：【根据我市《关于开展政府采购合同融资工作的通知》（锡财购〔2020〕17号）】</w:t>
      </w:r>
    </w:p>
    <w:p w14:paraId="15FC99B5">
      <w:pPr>
        <w:shd w:val="clear" w:color="auto"/>
        <w:spacing w:line="360" w:lineRule="auto"/>
        <w:ind w:firstLine="480"/>
        <w:rPr>
          <w:rFonts w:ascii="宋体" w:hAnsi="宋体" w:cs="宋体"/>
          <w:color w:val="auto"/>
          <w:sz w:val="24"/>
          <w:highlight w:val="none"/>
        </w:rPr>
      </w:pPr>
      <w:r>
        <w:rPr>
          <w:rFonts w:hint="eastAsia" w:ascii="宋体" w:hAnsi="宋体" w:cs="宋体"/>
          <w:color w:val="auto"/>
          <w:sz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0B105ADB">
      <w:pPr>
        <w:shd w:val="clear" w:color="auto"/>
        <w:spacing w:line="360" w:lineRule="auto"/>
        <w:ind w:firstLine="480"/>
        <w:rPr>
          <w:rFonts w:ascii="宋体" w:hAnsi="宋体" w:cs="宋体"/>
          <w:color w:val="auto"/>
          <w:sz w:val="24"/>
          <w:highlight w:val="none"/>
        </w:rPr>
      </w:pPr>
      <w:r>
        <w:rPr>
          <w:rFonts w:hint="eastAsia" w:ascii="宋体" w:hAnsi="宋体" w:cs="宋体"/>
          <w:color w:val="auto"/>
          <w:sz w:val="24"/>
          <w:highlight w:val="none"/>
        </w:rPr>
        <w:t>中标、成交供应商可根据自身情况，自行决定是否选择采用合同融资形式，在无锡政府采购网——政采贷专栏提供的银行名录内自主选择合作银行。</w:t>
      </w:r>
    </w:p>
    <w:p w14:paraId="4CD8B27E">
      <w:pPr>
        <w:shd w:val="clear" w:color="auto"/>
        <w:spacing w:line="360" w:lineRule="auto"/>
        <w:ind w:firstLine="480"/>
        <w:rPr>
          <w:rFonts w:ascii="宋体" w:hAnsi="宋体" w:cs="宋体"/>
          <w:color w:val="auto"/>
          <w:sz w:val="24"/>
          <w:highlight w:val="none"/>
        </w:rPr>
      </w:pPr>
      <w:r>
        <w:rPr>
          <w:rFonts w:hint="eastAsia" w:ascii="宋体" w:hAnsi="宋体" w:cs="宋体"/>
          <w:color w:val="auto"/>
          <w:sz w:val="24"/>
          <w:highlight w:val="none"/>
        </w:rPr>
        <w:t>附：政府采购合同融资政策告知：</w:t>
      </w:r>
    </w:p>
    <w:p w14:paraId="1B66228E">
      <w:pPr>
        <w:shd w:val="clear" w:color="auto"/>
        <w:spacing w:line="360" w:lineRule="auto"/>
        <w:ind w:firstLine="480"/>
        <w:rPr>
          <w:rFonts w:ascii="宋体" w:hAnsi="宋体" w:cs="宋体"/>
          <w:color w:val="auto"/>
          <w:sz w:val="24"/>
          <w:highlight w:val="none"/>
        </w:rPr>
      </w:pPr>
      <w:r>
        <w:rPr>
          <w:rFonts w:hint="eastAsia" w:ascii="宋体" w:hAnsi="宋体" w:cs="宋体"/>
          <w:color w:val="auto"/>
          <w:sz w:val="24"/>
          <w:highlight w:val="none"/>
        </w:rPr>
        <w:t>中标供应商可依法依规使用本项目合同向金融机构融资，但采购人不为中标供应商的融资行为提供担保。</w:t>
      </w:r>
    </w:p>
    <w:p w14:paraId="05A440B1">
      <w:pPr>
        <w:shd w:val="clear" w:color="auto"/>
        <w:spacing w:line="360" w:lineRule="auto"/>
        <w:ind w:firstLine="480"/>
        <w:rPr>
          <w:rFonts w:ascii="宋体" w:hAnsi="宋体" w:cs="宋体"/>
          <w:color w:val="auto"/>
          <w:sz w:val="24"/>
          <w:highlight w:val="none"/>
        </w:rPr>
      </w:pPr>
      <w:r>
        <w:rPr>
          <w:rFonts w:hint="eastAsia" w:ascii="宋体" w:hAnsi="宋体" w:cs="宋体"/>
          <w:color w:val="auto"/>
          <w:sz w:val="24"/>
          <w:highlight w:val="none"/>
        </w:rPr>
        <w:t>无锡市政府采购合同融资政策告知函</w:t>
      </w:r>
    </w:p>
    <w:p w14:paraId="7AAE504F">
      <w:pPr>
        <w:shd w:val="clear" w:color="auto"/>
        <w:spacing w:line="360" w:lineRule="auto"/>
        <w:ind w:firstLine="480"/>
        <w:rPr>
          <w:rFonts w:ascii="宋体" w:hAnsi="宋体" w:cs="宋体"/>
          <w:color w:val="auto"/>
          <w:sz w:val="24"/>
          <w:highlight w:val="none"/>
        </w:rPr>
      </w:pPr>
      <w:r>
        <w:rPr>
          <w:rFonts w:hint="eastAsia" w:ascii="宋体" w:hAnsi="宋体" w:cs="宋体"/>
          <w:color w:val="auto"/>
          <w:sz w:val="24"/>
          <w:highlight w:val="none"/>
        </w:rPr>
        <w:t>各供应商：</w:t>
      </w:r>
    </w:p>
    <w:p w14:paraId="11235CF4">
      <w:pPr>
        <w:shd w:val="clear" w:color="auto"/>
        <w:spacing w:line="360" w:lineRule="auto"/>
        <w:ind w:firstLine="480"/>
        <w:rPr>
          <w:rFonts w:ascii="宋体" w:hAnsi="宋体" w:cs="宋体"/>
          <w:color w:val="auto"/>
          <w:sz w:val="24"/>
          <w:highlight w:val="none"/>
        </w:rPr>
      </w:pPr>
      <w:r>
        <w:rPr>
          <w:rFonts w:hint="eastAsia" w:ascii="宋体" w:hAnsi="宋体" w:cs="宋体"/>
          <w:color w:val="auto"/>
          <w:sz w:val="24"/>
          <w:highlight w:val="none"/>
        </w:rPr>
        <w:t>欢迎贵公司参与无锡市政府采购活动！</w:t>
      </w:r>
    </w:p>
    <w:p w14:paraId="11951401">
      <w:pPr>
        <w:shd w:val="clear" w:color="auto"/>
        <w:spacing w:line="360" w:lineRule="auto"/>
        <w:ind w:firstLine="480"/>
        <w:rPr>
          <w:rFonts w:ascii="宋体" w:hAnsi="宋体" w:cs="宋体"/>
          <w:color w:val="auto"/>
          <w:sz w:val="24"/>
          <w:highlight w:val="none"/>
        </w:rPr>
      </w:pPr>
      <w:r>
        <w:rPr>
          <w:rFonts w:hint="eastAsia" w:ascii="宋体" w:hAnsi="宋体" w:cs="宋体"/>
          <w:color w:val="auto"/>
          <w:sz w:val="24"/>
          <w:highlight w:val="none"/>
        </w:rPr>
        <w:t>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p>
    <w:p w14:paraId="0E1EE85A">
      <w:pPr>
        <w:shd w:val="clear" w:color="auto"/>
        <w:spacing w:line="360" w:lineRule="auto"/>
        <w:ind w:firstLine="480"/>
        <w:rPr>
          <w:rFonts w:ascii="宋体" w:hAnsi="宋体" w:cs="宋体"/>
          <w:color w:val="auto"/>
          <w:sz w:val="24"/>
          <w:highlight w:val="none"/>
        </w:rPr>
      </w:pPr>
      <w:r>
        <w:rPr>
          <w:rFonts w:hint="eastAsia" w:ascii="宋体" w:hAnsi="宋体" w:cs="宋体"/>
          <w:color w:val="auto"/>
          <w:sz w:val="24"/>
          <w:highlight w:val="none"/>
        </w:rPr>
        <w:t>贷款渠道和提供贷款的金融机构，可在无锡政府采购网无锡市政府采购交易管理一体化系统查询联系。</w:t>
      </w:r>
    </w:p>
    <w:p w14:paraId="70227F86">
      <w:pPr>
        <w:shd w:val="clear" w:color="auto"/>
        <w:spacing w:line="360" w:lineRule="auto"/>
        <w:rPr>
          <w:rFonts w:ascii="宋体" w:hAnsi="宋体" w:cs="宋体"/>
          <w:color w:val="auto"/>
          <w:sz w:val="24"/>
          <w:highlight w:val="none"/>
        </w:rPr>
      </w:pPr>
      <w:r>
        <w:rPr>
          <w:rFonts w:hint="eastAsia" w:ascii="宋体" w:hAnsi="宋体" w:cs="宋体"/>
          <w:color w:val="auto"/>
          <w:sz w:val="24"/>
          <w:highlight w:val="none"/>
        </w:rPr>
        <w:t>附件1.                政府采购履约担保函（项目用）</w:t>
      </w:r>
    </w:p>
    <w:p w14:paraId="4E26E8FF">
      <w:pPr>
        <w:widowControl/>
        <w:shd w:val="clear" w:color="auto"/>
        <w:tabs>
          <w:tab w:val="left" w:pos="360"/>
          <w:tab w:val="left" w:pos="960"/>
        </w:tabs>
        <w:spacing w:line="360" w:lineRule="auto"/>
        <w:ind w:firstLine="360"/>
        <w:jc w:val="left"/>
        <w:rPr>
          <w:rFonts w:ascii="宋体" w:hAnsi="宋体" w:cs="宋体"/>
          <w:color w:val="auto"/>
          <w:sz w:val="24"/>
          <w:highlight w:val="none"/>
        </w:rPr>
      </w:pPr>
      <w:r>
        <w:rPr>
          <w:rFonts w:hint="eastAsia" w:ascii="宋体" w:hAnsi="宋体" w:cs="宋体"/>
          <w:color w:val="auto"/>
          <w:sz w:val="24"/>
          <w:highlight w:val="none"/>
        </w:rPr>
        <w:t>编号：</w:t>
      </w:r>
    </w:p>
    <w:p w14:paraId="1C347FFE">
      <w:pPr>
        <w:widowControl/>
        <w:shd w:val="clear" w:color="auto"/>
        <w:tabs>
          <w:tab w:val="left" w:pos="360"/>
          <w:tab w:val="left" w:pos="960"/>
        </w:tabs>
        <w:spacing w:line="360" w:lineRule="auto"/>
        <w:jc w:val="left"/>
        <w:rPr>
          <w:rFonts w:ascii="宋体" w:hAnsi="宋体" w:cs="宋体"/>
          <w:color w:val="auto"/>
          <w:sz w:val="24"/>
          <w:highlight w:val="none"/>
          <w:u w:val="singl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（采购人）：</w:t>
      </w:r>
    </w:p>
    <w:p w14:paraId="0CEDADE4">
      <w:pPr>
        <w:widowControl/>
        <w:shd w:val="clear" w:color="auto"/>
        <w:tabs>
          <w:tab w:val="left" w:pos="360"/>
          <w:tab w:val="left" w:pos="960"/>
        </w:tabs>
        <w:spacing w:line="360" w:lineRule="auto"/>
        <w:ind w:firstLine="360"/>
        <w:jc w:val="left"/>
        <w:rPr>
          <w:rFonts w:ascii="宋体" w:hAnsi="宋体" w:cs="宋体"/>
          <w:color w:val="auto"/>
          <w:sz w:val="24"/>
          <w:highlight w:val="none"/>
        </w:rPr>
      </w:pPr>
    </w:p>
    <w:p w14:paraId="11477A20">
      <w:pPr>
        <w:widowControl/>
        <w:shd w:val="clear" w:color="auto"/>
        <w:tabs>
          <w:tab w:val="left" w:pos="360"/>
          <w:tab w:val="left" w:pos="960"/>
        </w:tabs>
        <w:spacing w:line="360" w:lineRule="auto"/>
        <w:ind w:firstLine="360"/>
        <w:jc w:val="left"/>
        <w:rPr>
          <w:rFonts w:ascii="宋体" w:hAnsi="宋体" w:cs="宋体"/>
          <w:color w:val="auto"/>
          <w:sz w:val="24"/>
          <w:highlight w:val="none"/>
        </w:rPr>
      </w:pPr>
      <w:r>
        <w:rPr>
          <w:rFonts w:hint="eastAsia" w:ascii="宋体" w:hAnsi="宋体" w:cs="宋体"/>
          <w:color w:val="auto"/>
          <w:sz w:val="24"/>
          <w:highlight w:val="none"/>
        </w:rPr>
        <w:t>鉴于你方与</w:t>
      </w:r>
      <w:r>
        <w:rPr>
          <w:rFonts w:hint="eastAsia" w:ascii="宋体" w:hAnsi="宋体" w:cs="宋体"/>
          <w:color w:val="auto"/>
          <w:sz w:val="24"/>
          <w:highlight w:val="none"/>
          <w:u w:val="single"/>
        </w:rPr>
        <w:t xml:space="preserve">                    （以下简称供应商）</w:t>
      </w:r>
      <w:r>
        <w:rPr>
          <w:rFonts w:hint="eastAsia" w:ascii="宋体" w:hAnsi="宋体" w:cs="宋体"/>
          <w:color w:val="auto"/>
          <w:sz w:val="24"/>
          <w:highlight w:val="none"/>
        </w:rPr>
        <w:t>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日签订编号为   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政府采购合同》（以下简称主合同），且依据该合同的约定，供应商应在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日前向你方交纳履约保证金，且可以履约担保函的形式交纳履约保证金。应供应商的申请，我方以保证的方式向你方提供如下履约保证金担保：</w:t>
      </w:r>
    </w:p>
    <w:p w14:paraId="360CBA04">
      <w:pPr>
        <w:widowControl/>
        <w:shd w:val="clear" w:color="auto"/>
        <w:tabs>
          <w:tab w:val="left" w:pos="360"/>
          <w:tab w:val="left" w:pos="960"/>
        </w:tabs>
        <w:spacing w:line="360" w:lineRule="auto"/>
        <w:ind w:firstLine="360"/>
        <w:jc w:val="left"/>
        <w:rPr>
          <w:rFonts w:ascii="宋体" w:hAnsi="宋体" w:cs="宋体"/>
          <w:color w:val="auto"/>
          <w:sz w:val="24"/>
          <w:highlight w:val="none"/>
        </w:rPr>
      </w:pPr>
      <w:r>
        <w:rPr>
          <w:rFonts w:hint="eastAsia" w:ascii="宋体" w:hAnsi="宋体" w:cs="宋体"/>
          <w:color w:val="auto"/>
          <w:sz w:val="24"/>
          <w:highlight w:val="none"/>
        </w:rPr>
        <w:t>一、保证责任的情形及保证金额</w:t>
      </w:r>
    </w:p>
    <w:p w14:paraId="3C145468">
      <w:pPr>
        <w:widowControl/>
        <w:shd w:val="clear" w:color="auto"/>
        <w:tabs>
          <w:tab w:val="left" w:pos="360"/>
          <w:tab w:val="left" w:pos="960"/>
        </w:tabs>
        <w:spacing w:line="360" w:lineRule="auto"/>
        <w:ind w:firstLine="360"/>
        <w:jc w:val="left"/>
        <w:rPr>
          <w:rFonts w:ascii="宋体" w:hAnsi="宋体" w:cs="宋体"/>
          <w:color w:val="auto"/>
          <w:sz w:val="24"/>
          <w:highlight w:val="none"/>
        </w:rPr>
      </w:pPr>
      <w:r>
        <w:rPr>
          <w:rFonts w:hint="eastAsia" w:ascii="宋体" w:hAnsi="宋体" w:cs="宋体"/>
          <w:color w:val="auto"/>
          <w:sz w:val="24"/>
          <w:highlight w:val="none"/>
        </w:rPr>
        <w:t>（一）在供应商出现下列情形之一时，我方承担保证责任：</w:t>
      </w:r>
    </w:p>
    <w:p w14:paraId="73D80A11">
      <w:pPr>
        <w:widowControl/>
        <w:shd w:val="clear" w:color="auto"/>
        <w:tabs>
          <w:tab w:val="left" w:pos="360"/>
          <w:tab w:val="left" w:pos="960"/>
        </w:tabs>
        <w:spacing w:line="360" w:lineRule="auto"/>
        <w:ind w:firstLine="360"/>
        <w:jc w:val="left"/>
        <w:rPr>
          <w:rFonts w:ascii="宋体" w:hAnsi="宋体" w:cs="宋体"/>
          <w:color w:val="auto"/>
          <w:sz w:val="24"/>
          <w:highlight w:val="none"/>
        </w:rPr>
      </w:pPr>
      <w:r>
        <w:rPr>
          <w:rFonts w:hint="eastAsia" w:ascii="宋体" w:hAnsi="宋体" w:cs="宋体"/>
          <w:color w:val="auto"/>
          <w:sz w:val="24"/>
          <w:highlight w:val="none"/>
        </w:rPr>
        <w:t>1．将中标项目转让给他人，或者在投标文件中未说明，且未经采购人、招标代理机构同意，将中标项目分包给他人的；</w:t>
      </w:r>
    </w:p>
    <w:p w14:paraId="3A5B91D5">
      <w:pPr>
        <w:widowControl/>
        <w:shd w:val="clear" w:color="auto"/>
        <w:tabs>
          <w:tab w:val="left" w:pos="360"/>
          <w:tab w:val="left" w:pos="960"/>
        </w:tabs>
        <w:spacing w:line="360" w:lineRule="auto"/>
        <w:ind w:firstLine="360"/>
        <w:jc w:val="left"/>
        <w:rPr>
          <w:rFonts w:ascii="宋体" w:hAnsi="宋体" w:cs="宋体"/>
          <w:color w:val="auto"/>
          <w:sz w:val="24"/>
          <w:highlight w:val="none"/>
        </w:rPr>
      </w:pPr>
      <w:r>
        <w:rPr>
          <w:rFonts w:hint="eastAsia" w:ascii="宋体" w:hAnsi="宋体" w:cs="宋体"/>
          <w:color w:val="auto"/>
          <w:sz w:val="24"/>
          <w:highlight w:val="none"/>
        </w:rPr>
        <w:t xml:space="preserve">2．主合同约定的应当缴纳履约保证金的情形： </w:t>
      </w:r>
    </w:p>
    <w:p w14:paraId="73CEE1B8">
      <w:pPr>
        <w:widowControl/>
        <w:shd w:val="clear" w:color="auto"/>
        <w:tabs>
          <w:tab w:val="left" w:pos="360"/>
          <w:tab w:val="left" w:pos="960"/>
        </w:tabs>
        <w:spacing w:line="360" w:lineRule="auto"/>
        <w:ind w:firstLine="360"/>
        <w:jc w:val="left"/>
        <w:rPr>
          <w:rFonts w:ascii="宋体" w:hAnsi="宋体" w:cs="宋体"/>
          <w:color w:val="auto"/>
          <w:sz w:val="24"/>
          <w:highlight w:val="none"/>
        </w:rPr>
      </w:pPr>
      <w:r>
        <w:rPr>
          <w:rFonts w:hint="eastAsia" w:ascii="宋体" w:hAnsi="宋体" w:cs="宋体"/>
          <w:color w:val="auto"/>
          <w:sz w:val="24"/>
          <w:highlight w:val="none"/>
        </w:rPr>
        <w:t>（1）未按主合同约定的质量、数量和期限供应货物/提供服务/完成工程的；</w:t>
      </w:r>
    </w:p>
    <w:p w14:paraId="742AA002">
      <w:pPr>
        <w:widowControl/>
        <w:shd w:val="clear" w:color="auto"/>
        <w:tabs>
          <w:tab w:val="left" w:pos="360"/>
          <w:tab w:val="left" w:pos="960"/>
        </w:tabs>
        <w:spacing w:line="360" w:lineRule="auto"/>
        <w:ind w:firstLine="360"/>
        <w:jc w:val="left"/>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0086D10F">
      <w:pPr>
        <w:widowControl/>
        <w:shd w:val="clear" w:color="auto"/>
        <w:tabs>
          <w:tab w:val="left" w:pos="360"/>
          <w:tab w:val="left" w:pos="960"/>
        </w:tabs>
        <w:spacing w:line="360" w:lineRule="auto"/>
        <w:ind w:firstLine="360"/>
        <w:jc w:val="left"/>
        <w:rPr>
          <w:rFonts w:ascii="宋体" w:hAnsi="宋体" w:cs="宋体"/>
          <w:color w:val="auto"/>
          <w:sz w:val="24"/>
          <w:highlight w:val="none"/>
        </w:rPr>
      </w:pPr>
      <w:r>
        <w:rPr>
          <w:rFonts w:hint="eastAsia" w:ascii="宋体" w:hAnsi="宋体" w:cs="宋体"/>
          <w:color w:val="auto"/>
          <w:sz w:val="24"/>
          <w:highlight w:val="none"/>
        </w:rPr>
        <w:t>（二）我方的保证范围是主合同约定的合同价款总额的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%数额为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），币种为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。（即主合同履约保证金金额）</w:t>
      </w:r>
    </w:p>
    <w:p w14:paraId="13044820">
      <w:pPr>
        <w:widowControl/>
        <w:shd w:val="clear" w:color="auto"/>
        <w:tabs>
          <w:tab w:val="left" w:pos="360"/>
          <w:tab w:val="left" w:pos="960"/>
        </w:tabs>
        <w:spacing w:line="360" w:lineRule="auto"/>
        <w:ind w:firstLine="360"/>
        <w:jc w:val="left"/>
        <w:rPr>
          <w:rFonts w:ascii="宋体" w:hAnsi="宋体" w:cs="宋体"/>
          <w:color w:val="auto"/>
          <w:sz w:val="24"/>
          <w:highlight w:val="none"/>
        </w:rPr>
      </w:pPr>
      <w:r>
        <w:rPr>
          <w:rFonts w:hint="eastAsia" w:ascii="宋体" w:hAnsi="宋体" w:cs="宋体"/>
          <w:color w:val="auto"/>
          <w:sz w:val="24"/>
          <w:highlight w:val="none"/>
        </w:rPr>
        <w:t>二、保证的方式及保证期间</w:t>
      </w:r>
    </w:p>
    <w:p w14:paraId="48093523">
      <w:pPr>
        <w:widowControl/>
        <w:shd w:val="clear" w:color="auto"/>
        <w:tabs>
          <w:tab w:val="left" w:pos="360"/>
          <w:tab w:val="left" w:pos="960"/>
        </w:tabs>
        <w:spacing w:line="360" w:lineRule="auto"/>
        <w:ind w:firstLine="360"/>
        <w:jc w:val="left"/>
        <w:rPr>
          <w:rFonts w:ascii="宋体" w:hAnsi="宋体" w:cs="宋体"/>
          <w:color w:val="auto"/>
          <w:sz w:val="24"/>
          <w:highlight w:val="none"/>
        </w:rPr>
      </w:pPr>
      <w:r>
        <w:rPr>
          <w:rFonts w:hint="eastAsia" w:ascii="宋体" w:hAnsi="宋体" w:cs="宋体"/>
          <w:color w:val="auto"/>
          <w:sz w:val="24"/>
          <w:highlight w:val="none"/>
        </w:rPr>
        <w:t>我方保证的方式为：连带责任保证。</w:t>
      </w:r>
    </w:p>
    <w:p w14:paraId="61314226">
      <w:pPr>
        <w:widowControl/>
        <w:shd w:val="clear" w:color="auto"/>
        <w:tabs>
          <w:tab w:val="left" w:pos="360"/>
          <w:tab w:val="left" w:pos="960"/>
        </w:tabs>
        <w:spacing w:line="360" w:lineRule="auto"/>
        <w:ind w:firstLine="360"/>
        <w:jc w:val="left"/>
        <w:rPr>
          <w:rFonts w:ascii="宋体" w:hAnsi="宋体" w:cs="宋体"/>
          <w:color w:val="auto"/>
          <w:sz w:val="24"/>
          <w:highlight w:val="none"/>
        </w:rPr>
      </w:pPr>
      <w:r>
        <w:rPr>
          <w:rFonts w:hint="eastAsia" w:ascii="宋体" w:hAnsi="宋体" w:cs="宋体"/>
          <w:color w:val="auto"/>
          <w:sz w:val="24"/>
          <w:highlight w:val="none"/>
        </w:rPr>
        <w:t>我方保证的期间为：自本合同生效之日起至供应商按照主合同约定的供货/完工期限届满后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日内。</w:t>
      </w:r>
    </w:p>
    <w:p w14:paraId="0328C7DF">
      <w:pPr>
        <w:widowControl/>
        <w:shd w:val="clear" w:color="auto"/>
        <w:tabs>
          <w:tab w:val="left" w:pos="360"/>
          <w:tab w:val="left" w:pos="960"/>
        </w:tabs>
        <w:spacing w:line="360" w:lineRule="auto"/>
        <w:ind w:firstLine="360"/>
        <w:jc w:val="left"/>
        <w:rPr>
          <w:rFonts w:ascii="宋体" w:hAnsi="宋体" w:cs="宋体"/>
          <w:color w:val="auto"/>
          <w:sz w:val="24"/>
          <w:highlight w:val="none"/>
        </w:rPr>
      </w:pPr>
      <w:r>
        <w:rPr>
          <w:rFonts w:hint="eastAsia" w:ascii="宋体" w:hAnsi="宋体" w:cs="宋体"/>
          <w:color w:val="auto"/>
          <w:sz w:val="24"/>
          <w:highlight w:val="none"/>
        </w:rPr>
        <w:t>如果供应商未按主合同约定向贵方供应货物/提供服务/完成工程的，由我方在保证金额内向你方支付上述款项。</w:t>
      </w:r>
    </w:p>
    <w:p w14:paraId="15FA1044">
      <w:pPr>
        <w:widowControl/>
        <w:shd w:val="clear" w:color="auto"/>
        <w:tabs>
          <w:tab w:val="left" w:pos="360"/>
          <w:tab w:val="left" w:pos="960"/>
        </w:tabs>
        <w:spacing w:line="360" w:lineRule="auto"/>
        <w:ind w:firstLine="360"/>
        <w:jc w:val="left"/>
        <w:rPr>
          <w:rFonts w:ascii="宋体" w:hAnsi="宋体" w:cs="宋体"/>
          <w:color w:val="auto"/>
          <w:sz w:val="24"/>
          <w:highlight w:val="none"/>
        </w:rPr>
      </w:pPr>
      <w:r>
        <w:rPr>
          <w:rFonts w:hint="eastAsia" w:ascii="宋体" w:hAnsi="宋体" w:cs="宋体"/>
          <w:color w:val="auto"/>
          <w:sz w:val="24"/>
          <w:highlight w:val="none"/>
        </w:rPr>
        <w:t>三、承担保证责任的程序</w:t>
      </w:r>
    </w:p>
    <w:p w14:paraId="50703B7F">
      <w:pPr>
        <w:widowControl/>
        <w:shd w:val="clear" w:color="auto"/>
        <w:tabs>
          <w:tab w:val="left" w:pos="360"/>
          <w:tab w:val="left" w:pos="960"/>
        </w:tabs>
        <w:spacing w:line="360" w:lineRule="auto"/>
        <w:ind w:firstLine="360"/>
        <w:jc w:val="left"/>
        <w:rPr>
          <w:rFonts w:ascii="宋体" w:hAnsi="宋体" w:cs="宋体"/>
          <w:color w:val="auto"/>
          <w:sz w:val="24"/>
          <w:highlight w:val="none"/>
        </w:rPr>
      </w:pPr>
      <w:r>
        <w:rPr>
          <w:rFonts w:hint="eastAsia" w:ascii="宋体" w:hAnsi="宋体" w:cs="宋体"/>
          <w:color w:val="auto"/>
          <w:sz w:val="24"/>
          <w:highlight w:val="none"/>
        </w:rPr>
        <w:t>1．你方要求我方承担保证责任的，应在本保函保证期间内向我方发出书面索赔通知。索赔通知应写明要求索赔的金额，支付款项应到达的账号。并附有证明供应商违约事实的证明材料。</w:t>
      </w:r>
    </w:p>
    <w:p w14:paraId="44E9738D">
      <w:pPr>
        <w:widowControl/>
        <w:shd w:val="clear" w:color="auto"/>
        <w:tabs>
          <w:tab w:val="left" w:pos="360"/>
          <w:tab w:val="left" w:pos="960"/>
        </w:tabs>
        <w:spacing w:line="360" w:lineRule="auto"/>
        <w:ind w:firstLine="360"/>
        <w:jc w:val="left"/>
        <w:rPr>
          <w:rFonts w:ascii="宋体" w:hAnsi="宋体" w:cs="宋体"/>
          <w:color w:val="auto"/>
          <w:sz w:val="24"/>
          <w:highlight w:val="none"/>
        </w:rPr>
      </w:pPr>
      <w:r>
        <w:rPr>
          <w:rFonts w:hint="eastAsia" w:ascii="宋体" w:hAnsi="宋体" w:cs="宋体"/>
          <w:color w:val="auto"/>
          <w:sz w:val="24"/>
          <w:highlight w:val="none"/>
        </w:rPr>
        <w:t>如果你方与供应商因货物质量问题产生争议，你方还需同时提供        部门出具的质量检测报告，或经诉讼（仲裁）程序裁决后的裁决书、调解书，本保证人即按照检测结果或裁决书、调解书决定是否承担保证责任。</w:t>
      </w:r>
    </w:p>
    <w:p w14:paraId="116DDFC2">
      <w:pPr>
        <w:widowControl/>
        <w:shd w:val="clear" w:color="auto"/>
        <w:tabs>
          <w:tab w:val="left" w:pos="360"/>
          <w:tab w:val="left" w:pos="960"/>
        </w:tabs>
        <w:spacing w:line="360" w:lineRule="auto"/>
        <w:ind w:firstLine="360"/>
        <w:jc w:val="left"/>
        <w:rPr>
          <w:rFonts w:ascii="宋体" w:hAnsi="宋体" w:cs="宋体"/>
          <w:color w:val="auto"/>
          <w:sz w:val="24"/>
          <w:highlight w:val="none"/>
        </w:rPr>
      </w:pPr>
      <w:r>
        <w:rPr>
          <w:rFonts w:hint="eastAsia" w:ascii="宋体" w:hAnsi="宋体" w:cs="宋体"/>
          <w:color w:val="auto"/>
          <w:sz w:val="24"/>
          <w:highlight w:val="none"/>
        </w:rPr>
        <w:t>2． 我方收到你方的书面索赔通知及相应证明材料，在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工作日内进行核定后按照本保函的承诺承担保证责任。</w:t>
      </w:r>
    </w:p>
    <w:p w14:paraId="0EC169B3">
      <w:pPr>
        <w:widowControl/>
        <w:shd w:val="clear" w:color="auto"/>
        <w:tabs>
          <w:tab w:val="left" w:pos="360"/>
          <w:tab w:val="left" w:pos="960"/>
        </w:tabs>
        <w:spacing w:line="360" w:lineRule="auto"/>
        <w:ind w:firstLine="360"/>
        <w:jc w:val="left"/>
        <w:rPr>
          <w:rFonts w:ascii="宋体" w:hAnsi="宋体" w:cs="宋体"/>
          <w:color w:val="auto"/>
          <w:sz w:val="24"/>
          <w:highlight w:val="none"/>
        </w:rPr>
      </w:pPr>
      <w:r>
        <w:rPr>
          <w:rFonts w:hint="eastAsia" w:ascii="宋体" w:hAnsi="宋体" w:cs="宋体"/>
          <w:color w:val="auto"/>
          <w:sz w:val="24"/>
          <w:highlight w:val="none"/>
        </w:rPr>
        <w:t>四、保证责任的终止</w:t>
      </w:r>
    </w:p>
    <w:p w14:paraId="7EC61009">
      <w:pPr>
        <w:widowControl/>
        <w:shd w:val="clear" w:color="auto"/>
        <w:tabs>
          <w:tab w:val="left" w:pos="360"/>
          <w:tab w:val="left" w:pos="960"/>
        </w:tabs>
        <w:spacing w:line="360" w:lineRule="auto"/>
        <w:ind w:firstLine="360"/>
        <w:jc w:val="left"/>
        <w:rPr>
          <w:rFonts w:ascii="宋体" w:hAnsi="宋体" w:cs="宋体"/>
          <w:color w:val="auto"/>
          <w:sz w:val="24"/>
          <w:highlight w:val="none"/>
        </w:rPr>
      </w:pPr>
      <w:r>
        <w:rPr>
          <w:rFonts w:hint="eastAsia" w:ascii="宋体" w:hAnsi="宋体" w:cs="宋体"/>
          <w:color w:val="auto"/>
          <w:sz w:val="24"/>
          <w:highlight w:val="none"/>
        </w:rPr>
        <w:t>1．保证期间届满你方未向我方书面主张保证责任的，自保证期间届满次日起，我方保证责任自动终止。保证期间届满前，主合同约定的货物\工程\服务全部验收合格的，自验收合格日起，我方保证责任自动终止。</w:t>
      </w:r>
    </w:p>
    <w:p w14:paraId="7D924DD2">
      <w:pPr>
        <w:widowControl/>
        <w:shd w:val="clear" w:color="auto"/>
        <w:tabs>
          <w:tab w:val="left" w:pos="360"/>
          <w:tab w:val="left" w:pos="960"/>
        </w:tabs>
        <w:spacing w:line="360" w:lineRule="auto"/>
        <w:ind w:firstLine="360"/>
        <w:jc w:val="left"/>
        <w:rPr>
          <w:rFonts w:ascii="宋体" w:hAnsi="宋体" w:cs="宋体"/>
          <w:color w:val="auto"/>
          <w:sz w:val="24"/>
          <w:highlight w:val="none"/>
        </w:rPr>
      </w:pPr>
      <w:r>
        <w:rPr>
          <w:rFonts w:hint="eastAsia" w:ascii="宋体" w:hAnsi="宋体" w:cs="宋体"/>
          <w:color w:val="auto"/>
          <w:sz w:val="24"/>
          <w:highlight w:val="none"/>
        </w:rPr>
        <w:t>2．我方按照本保函向你方履行了保证责任后，自我方向你方支付款项（支付款项从我方账户划出）之日起，保证责任即终止。</w:t>
      </w:r>
    </w:p>
    <w:p w14:paraId="790DBB98">
      <w:pPr>
        <w:widowControl/>
        <w:shd w:val="clear" w:color="auto"/>
        <w:tabs>
          <w:tab w:val="left" w:pos="360"/>
          <w:tab w:val="left" w:pos="960"/>
        </w:tabs>
        <w:spacing w:line="360" w:lineRule="auto"/>
        <w:ind w:firstLine="360"/>
        <w:jc w:val="left"/>
        <w:rPr>
          <w:rFonts w:ascii="宋体" w:hAnsi="宋体" w:cs="宋体"/>
          <w:color w:val="auto"/>
          <w:sz w:val="24"/>
          <w:highlight w:val="none"/>
        </w:rPr>
      </w:pPr>
      <w:r>
        <w:rPr>
          <w:rFonts w:hint="eastAsia" w:ascii="宋体" w:hAnsi="宋体" w:cs="宋体"/>
          <w:color w:val="auto"/>
          <w:sz w:val="24"/>
          <w:highlight w:val="none"/>
        </w:rPr>
        <w:t>3．按照法律法规的规定或出现应终止我方保证责任的其他情形的，我方在本保函项下的保证责任亦终止。</w:t>
      </w:r>
    </w:p>
    <w:p w14:paraId="75F66483">
      <w:pPr>
        <w:widowControl/>
        <w:shd w:val="clear" w:color="auto"/>
        <w:tabs>
          <w:tab w:val="left" w:pos="360"/>
          <w:tab w:val="left" w:pos="960"/>
        </w:tabs>
        <w:spacing w:line="360" w:lineRule="auto"/>
        <w:ind w:firstLine="360"/>
        <w:jc w:val="left"/>
        <w:rPr>
          <w:rFonts w:ascii="宋体" w:hAnsi="宋体" w:cs="宋体"/>
          <w:color w:val="auto"/>
          <w:sz w:val="24"/>
          <w:highlight w:val="none"/>
        </w:rPr>
      </w:pPr>
      <w:r>
        <w:rPr>
          <w:rFonts w:hint="eastAsia" w:ascii="宋体" w:hAnsi="宋体" w:cs="宋体"/>
          <w:color w:val="auto"/>
          <w:sz w:val="24"/>
          <w:highlight w:val="none"/>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50D846BB">
      <w:pPr>
        <w:widowControl/>
        <w:shd w:val="clear" w:color="auto"/>
        <w:tabs>
          <w:tab w:val="left" w:pos="360"/>
          <w:tab w:val="left" w:pos="960"/>
        </w:tabs>
        <w:spacing w:line="360" w:lineRule="auto"/>
        <w:ind w:firstLine="360"/>
        <w:jc w:val="left"/>
        <w:rPr>
          <w:rFonts w:ascii="宋体" w:hAnsi="宋体" w:cs="宋体"/>
          <w:color w:val="auto"/>
          <w:sz w:val="24"/>
          <w:highlight w:val="none"/>
        </w:rPr>
      </w:pPr>
      <w:r>
        <w:rPr>
          <w:rFonts w:hint="eastAsia" w:ascii="宋体" w:hAnsi="宋体" w:cs="宋体"/>
          <w:color w:val="auto"/>
          <w:sz w:val="24"/>
          <w:highlight w:val="none"/>
        </w:rPr>
        <w:t>五、免责条款</w:t>
      </w:r>
    </w:p>
    <w:p w14:paraId="4D4D4921">
      <w:pPr>
        <w:widowControl/>
        <w:shd w:val="clear" w:color="auto"/>
        <w:tabs>
          <w:tab w:val="left" w:pos="360"/>
          <w:tab w:val="left" w:pos="960"/>
        </w:tabs>
        <w:spacing w:line="360" w:lineRule="auto"/>
        <w:ind w:firstLine="360"/>
        <w:jc w:val="left"/>
        <w:rPr>
          <w:rFonts w:ascii="宋体" w:hAnsi="宋体" w:cs="宋体"/>
          <w:color w:val="auto"/>
          <w:sz w:val="24"/>
          <w:highlight w:val="none"/>
        </w:rPr>
      </w:pPr>
      <w:r>
        <w:rPr>
          <w:rFonts w:hint="eastAsia" w:ascii="宋体" w:hAnsi="宋体" w:cs="宋体"/>
          <w:color w:val="auto"/>
          <w:sz w:val="24"/>
          <w:highlight w:val="none"/>
        </w:rPr>
        <w:t>1．因你方违反主合同约定致使供应商不能履行义务的，我方不承担保证责任。</w:t>
      </w:r>
    </w:p>
    <w:p w14:paraId="6B0DD0AD">
      <w:pPr>
        <w:widowControl/>
        <w:shd w:val="clear" w:color="auto"/>
        <w:tabs>
          <w:tab w:val="left" w:pos="360"/>
          <w:tab w:val="left" w:pos="960"/>
        </w:tabs>
        <w:spacing w:line="360" w:lineRule="auto"/>
        <w:ind w:firstLine="360"/>
        <w:jc w:val="left"/>
        <w:rPr>
          <w:rFonts w:ascii="宋体" w:hAnsi="宋体" w:cs="宋体"/>
          <w:color w:val="auto"/>
          <w:sz w:val="24"/>
          <w:highlight w:val="none"/>
        </w:rPr>
      </w:pPr>
      <w:r>
        <w:rPr>
          <w:rFonts w:hint="eastAsia" w:ascii="宋体" w:hAnsi="宋体" w:cs="宋体"/>
          <w:color w:val="auto"/>
          <w:sz w:val="24"/>
          <w:highlight w:val="none"/>
        </w:rPr>
        <w:t>2．依照法律法规的规定或你方与供应商的另行约定，全部或者部分免除供应商应缴纳的保证金义务的，我方亦免除相应的保证责任。</w:t>
      </w:r>
    </w:p>
    <w:p w14:paraId="796F8284">
      <w:pPr>
        <w:widowControl/>
        <w:shd w:val="clear" w:color="auto"/>
        <w:tabs>
          <w:tab w:val="left" w:pos="360"/>
          <w:tab w:val="left" w:pos="960"/>
        </w:tabs>
        <w:spacing w:line="360" w:lineRule="auto"/>
        <w:ind w:firstLine="360"/>
        <w:jc w:val="left"/>
        <w:rPr>
          <w:rFonts w:ascii="宋体" w:hAnsi="宋体" w:cs="宋体"/>
          <w:color w:val="auto"/>
          <w:sz w:val="24"/>
          <w:highlight w:val="none"/>
        </w:rPr>
      </w:pPr>
      <w:r>
        <w:rPr>
          <w:rFonts w:hint="eastAsia" w:ascii="宋体" w:hAnsi="宋体" w:cs="宋体"/>
          <w:color w:val="auto"/>
          <w:sz w:val="24"/>
          <w:highlight w:val="none"/>
        </w:rPr>
        <w:t>3．因不可抗力造成供应商不能履行供货义务的，我方不承担保证责任。</w:t>
      </w:r>
    </w:p>
    <w:p w14:paraId="0C4E4E53">
      <w:pPr>
        <w:widowControl/>
        <w:shd w:val="clear" w:color="auto"/>
        <w:tabs>
          <w:tab w:val="left" w:pos="360"/>
          <w:tab w:val="left" w:pos="960"/>
        </w:tabs>
        <w:spacing w:line="360" w:lineRule="auto"/>
        <w:ind w:firstLine="360"/>
        <w:jc w:val="left"/>
        <w:rPr>
          <w:rFonts w:ascii="宋体" w:hAnsi="宋体" w:cs="宋体"/>
          <w:color w:val="auto"/>
          <w:sz w:val="24"/>
          <w:highlight w:val="none"/>
        </w:rPr>
      </w:pPr>
      <w:r>
        <w:rPr>
          <w:rFonts w:hint="eastAsia" w:ascii="宋体" w:hAnsi="宋体" w:cs="宋体"/>
          <w:color w:val="auto"/>
          <w:sz w:val="24"/>
          <w:highlight w:val="none"/>
        </w:rPr>
        <w:t>六、争议的解决</w:t>
      </w:r>
    </w:p>
    <w:p w14:paraId="27AFE3FE">
      <w:pPr>
        <w:widowControl/>
        <w:shd w:val="clear" w:color="auto"/>
        <w:tabs>
          <w:tab w:val="left" w:pos="360"/>
          <w:tab w:val="left" w:pos="960"/>
        </w:tabs>
        <w:spacing w:line="360" w:lineRule="auto"/>
        <w:ind w:firstLine="360"/>
        <w:jc w:val="left"/>
        <w:rPr>
          <w:rFonts w:ascii="宋体" w:hAnsi="宋体" w:cs="宋体"/>
          <w:color w:val="auto"/>
          <w:sz w:val="24"/>
          <w:highlight w:val="none"/>
        </w:rPr>
      </w:pPr>
      <w:r>
        <w:rPr>
          <w:rFonts w:hint="eastAsia" w:ascii="宋体" w:hAnsi="宋体" w:cs="宋体"/>
          <w:color w:val="auto"/>
          <w:sz w:val="24"/>
          <w:highlight w:val="none"/>
        </w:rPr>
        <w:t>因本保函发生的纠纷，由你我双方协商解决，协商不成的，通过诉讼程序解决，诉讼管辖地法院为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法院。</w:t>
      </w:r>
    </w:p>
    <w:p w14:paraId="6272F0D8">
      <w:pPr>
        <w:widowControl/>
        <w:shd w:val="clear" w:color="auto"/>
        <w:tabs>
          <w:tab w:val="left" w:pos="360"/>
          <w:tab w:val="left" w:pos="960"/>
        </w:tabs>
        <w:spacing w:line="360" w:lineRule="auto"/>
        <w:ind w:firstLine="360"/>
        <w:jc w:val="left"/>
        <w:rPr>
          <w:rFonts w:ascii="宋体" w:hAnsi="宋体" w:cs="宋体"/>
          <w:color w:val="auto"/>
          <w:sz w:val="24"/>
          <w:highlight w:val="none"/>
        </w:rPr>
      </w:pPr>
      <w:r>
        <w:rPr>
          <w:rFonts w:hint="eastAsia" w:ascii="宋体" w:hAnsi="宋体" w:cs="宋体"/>
          <w:color w:val="auto"/>
          <w:sz w:val="24"/>
          <w:highlight w:val="none"/>
        </w:rPr>
        <w:t>七、保函的生效</w:t>
      </w:r>
    </w:p>
    <w:p w14:paraId="27EAB125">
      <w:pPr>
        <w:widowControl/>
        <w:shd w:val="clear" w:color="auto"/>
        <w:tabs>
          <w:tab w:val="left" w:pos="360"/>
          <w:tab w:val="left" w:pos="960"/>
        </w:tabs>
        <w:spacing w:line="360" w:lineRule="auto"/>
        <w:ind w:firstLine="360"/>
        <w:jc w:val="left"/>
        <w:rPr>
          <w:rFonts w:ascii="宋体" w:hAnsi="宋体" w:cs="宋体"/>
          <w:color w:val="auto"/>
          <w:sz w:val="24"/>
          <w:highlight w:val="none"/>
        </w:rPr>
      </w:pPr>
      <w:r>
        <w:rPr>
          <w:rFonts w:hint="eastAsia" w:ascii="宋体" w:hAnsi="宋体" w:cs="宋体"/>
          <w:color w:val="auto"/>
          <w:sz w:val="24"/>
          <w:highlight w:val="none"/>
        </w:rPr>
        <w:t>本保函自我方加盖公章之日起生效。</w:t>
      </w:r>
    </w:p>
    <w:p w14:paraId="45787EB0">
      <w:pPr>
        <w:widowControl/>
        <w:shd w:val="clear" w:color="auto"/>
        <w:tabs>
          <w:tab w:val="left" w:pos="360"/>
          <w:tab w:val="left" w:pos="960"/>
        </w:tabs>
        <w:spacing w:line="360" w:lineRule="auto"/>
        <w:jc w:val="left"/>
        <w:rPr>
          <w:rFonts w:ascii="宋体" w:hAnsi="宋体" w:cs="宋体"/>
          <w:color w:val="auto"/>
          <w:sz w:val="24"/>
          <w:highlight w:val="none"/>
        </w:rPr>
      </w:pPr>
      <w:r>
        <w:rPr>
          <w:rFonts w:hint="eastAsia" w:ascii="宋体" w:hAnsi="宋体" w:cs="宋体"/>
          <w:color w:val="auto"/>
          <w:sz w:val="24"/>
          <w:highlight w:val="none"/>
        </w:rPr>
        <w:t xml:space="preserve">                                 </w:t>
      </w:r>
    </w:p>
    <w:p w14:paraId="04F273F2">
      <w:pPr>
        <w:widowControl/>
        <w:shd w:val="clear" w:color="auto"/>
        <w:tabs>
          <w:tab w:val="left" w:pos="360"/>
          <w:tab w:val="left" w:pos="960"/>
        </w:tabs>
        <w:spacing w:line="360" w:lineRule="auto"/>
        <w:ind w:firstLine="360"/>
        <w:jc w:val="left"/>
        <w:rPr>
          <w:rFonts w:ascii="宋体" w:hAnsi="宋体" w:cs="宋体"/>
          <w:color w:val="auto"/>
          <w:sz w:val="24"/>
          <w:highlight w:val="none"/>
        </w:rPr>
      </w:pPr>
      <w:r>
        <w:rPr>
          <w:rFonts w:hint="eastAsia" w:ascii="宋体" w:hAnsi="宋体" w:cs="宋体"/>
          <w:color w:val="auto"/>
          <w:sz w:val="24"/>
          <w:highlight w:val="none"/>
        </w:rPr>
        <w:t>保证人：（公章）</w:t>
      </w:r>
    </w:p>
    <w:p w14:paraId="639D58AC">
      <w:pPr>
        <w:widowControl/>
        <w:shd w:val="clear" w:color="auto"/>
        <w:tabs>
          <w:tab w:val="left" w:pos="360"/>
          <w:tab w:val="left" w:pos="960"/>
        </w:tabs>
        <w:spacing w:line="360" w:lineRule="auto"/>
        <w:ind w:firstLine="360"/>
        <w:jc w:val="left"/>
        <w:rPr>
          <w:rFonts w:ascii="宋体" w:hAnsi="宋体" w:cs="宋体"/>
          <w:color w:val="auto"/>
          <w:sz w:val="24"/>
          <w:highlight w:val="none"/>
        </w:rPr>
      </w:pPr>
      <w:r>
        <w:rPr>
          <w:rFonts w:hint="eastAsia" w:ascii="宋体" w:hAnsi="宋体" w:cs="宋体"/>
          <w:color w:val="auto"/>
          <w:sz w:val="24"/>
          <w:highlight w:val="none"/>
        </w:rPr>
        <w:t xml:space="preserve">                   </w:t>
      </w:r>
    </w:p>
    <w:p w14:paraId="44EDDB91">
      <w:pPr>
        <w:widowControl/>
        <w:shd w:val="clear" w:color="auto"/>
        <w:tabs>
          <w:tab w:val="left" w:pos="360"/>
          <w:tab w:val="left" w:pos="960"/>
        </w:tabs>
        <w:spacing w:line="360" w:lineRule="auto"/>
        <w:ind w:firstLine="360"/>
        <w:jc w:val="left"/>
        <w:rPr>
          <w:rFonts w:ascii="宋体" w:hAnsi="宋体" w:cs="宋体"/>
          <w:color w:val="auto"/>
          <w:sz w:val="24"/>
          <w:highlight w:val="none"/>
        </w:rPr>
      </w:pPr>
      <w:r>
        <w:rPr>
          <w:rFonts w:hint="eastAsia" w:ascii="宋体" w:hAnsi="宋体" w:cs="宋体"/>
          <w:color w:val="auto"/>
          <w:sz w:val="24"/>
          <w:highlight w:val="none"/>
        </w:rPr>
        <w:t xml:space="preserve"> 年     月      日</w:t>
      </w:r>
    </w:p>
    <w:p w14:paraId="03FFC47C">
      <w:pPr>
        <w:shd w:val="clear" w:color="auto"/>
        <w:spacing w:line="360" w:lineRule="auto"/>
        <w:ind w:firstLine="480"/>
        <w:rPr>
          <w:rFonts w:hint="eastAsia" w:ascii="宋体" w:hAnsi="宋体" w:cs="宋体"/>
          <w:b/>
          <w:color w:val="auto"/>
          <w:sz w:val="24"/>
          <w:highlight w:val="none"/>
        </w:rPr>
      </w:pPr>
    </w:p>
    <w:p w14:paraId="090E8FED">
      <w:pPr>
        <w:shd w:val="clear" w:color="auto"/>
        <w:spacing w:line="360" w:lineRule="auto"/>
        <w:ind w:firstLine="480"/>
        <w:rPr>
          <w:rFonts w:ascii="宋体" w:hAnsi="宋体" w:cs="宋体"/>
          <w:b/>
          <w:color w:val="auto"/>
          <w:sz w:val="24"/>
          <w:highlight w:val="none"/>
        </w:rPr>
      </w:pPr>
      <w:r>
        <w:rPr>
          <w:rFonts w:hint="eastAsia" w:ascii="宋体" w:hAnsi="宋体" w:cs="宋体"/>
          <w:b/>
          <w:color w:val="auto"/>
          <w:sz w:val="24"/>
          <w:highlight w:val="none"/>
        </w:rPr>
        <w:t>（十七）采购代理服务费：</w:t>
      </w:r>
    </w:p>
    <w:p w14:paraId="18B6080A">
      <w:pPr>
        <w:shd w:val="clear" w:color="auto"/>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本项目代理服务费由</w:t>
      </w:r>
      <w:r>
        <w:rPr>
          <w:rFonts w:hint="eastAsia" w:ascii="宋体" w:hAnsi="宋体" w:cs="宋体"/>
          <w:bCs/>
          <w:color w:val="auto"/>
          <w:sz w:val="24"/>
          <w:highlight w:val="none"/>
          <w:lang w:val="en-US" w:eastAsia="zh-CN"/>
        </w:rPr>
        <w:t>采购人</w:t>
      </w:r>
      <w:r>
        <w:rPr>
          <w:rFonts w:hint="eastAsia" w:ascii="宋体" w:hAnsi="宋体" w:cs="宋体"/>
          <w:bCs/>
          <w:color w:val="auto"/>
          <w:sz w:val="24"/>
          <w:highlight w:val="none"/>
        </w:rPr>
        <w:t>支付，</w:t>
      </w:r>
      <w:r>
        <w:rPr>
          <w:rFonts w:hint="eastAsia" w:ascii="宋体" w:hAnsi="宋体" w:cs="宋体"/>
          <w:bCs/>
          <w:color w:val="auto"/>
          <w:sz w:val="24"/>
          <w:szCs w:val="22"/>
          <w:highlight w:val="none"/>
        </w:rPr>
        <w:t>采购代理费经约定按人民币</w:t>
      </w:r>
      <w:r>
        <w:rPr>
          <w:rFonts w:hint="eastAsia" w:ascii="宋体" w:hAnsi="宋体" w:cs="宋体"/>
          <w:bCs/>
          <w:color w:val="auto"/>
          <w:sz w:val="24"/>
          <w:szCs w:val="22"/>
          <w:highlight w:val="none"/>
          <w:lang w:val="en-US" w:eastAsia="zh-CN"/>
        </w:rPr>
        <w:t>22000</w:t>
      </w:r>
      <w:r>
        <w:rPr>
          <w:rFonts w:hint="eastAsia" w:ascii="宋体" w:hAnsi="宋体" w:cs="宋体"/>
          <w:bCs/>
          <w:color w:val="auto"/>
          <w:sz w:val="24"/>
          <w:szCs w:val="22"/>
          <w:highlight w:val="none"/>
        </w:rPr>
        <w:t>.00元计取。</w:t>
      </w:r>
    </w:p>
    <w:p w14:paraId="720492DE">
      <w:pPr>
        <w:shd w:val="clear" w:color="auto"/>
        <w:spacing w:line="360" w:lineRule="auto"/>
        <w:ind w:firstLine="480"/>
        <w:rPr>
          <w:rFonts w:ascii="宋体" w:hAnsi="宋体" w:cs="宋体"/>
          <w:b/>
          <w:bCs/>
          <w:color w:val="auto"/>
          <w:sz w:val="24"/>
          <w:highlight w:val="none"/>
        </w:rPr>
      </w:pPr>
      <w:r>
        <w:rPr>
          <w:rFonts w:hint="eastAsia" w:ascii="宋体" w:hAnsi="宋体" w:cs="宋体"/>
          <w:b/>
          <w:bCs/>
          <w:color w:val="auto"/>
          <w:sz w:val="24"/>
          <w:highlight w:val="none"/>
        </w:rPr>
        <w:t>（十八）其他：</w:t>
      </w:r>
    </w:p>
    <w:p w14:paraId="04088D18">
      <w:pPr>
        <w:shd w:val="clear" w:color="auto"/>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采购文件的条款必须认真审阅，投标供应商应自行检查采购文件页数是否齐全。若有遗漏、重复或不清楚，需立刻通知招标人予以更正；凡属对条款的误解所造成的投标价格失误，由投标供应商负责。</w:t>
      </w:r>
    </w:p>
    <w:p w14:paraId="7D8093C9">
      <w:pPr>
        <w:shd w:val="clear" w:color="auto"/>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p>
    <w:p w14:paraId="4AB92A09">
      <w:pPr>
        <w:shd w:val="clear" w:color="auto"/>
        <w:spacing w:line="360" w:lineRule="auto"/>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三．采购需求</w:t>
      </w:r>
    </w:p>
    <w:p w14:paraId="55216444">
      <w:pPr>
        <w:shd w:val="clear" w:color="auto"/>
        <w:spacing w:line="360" w:lineRule="auto"/>
        <w:ind w:firstLine="600"/>
        <w:jc w:val="left"/>
        <w:rPr>
          <w:rFonts w:ascii="黑体" w:hAnsi="黑体" w:eastAsia="黑体"/>
          <w:color w:val="auto"/>
          <w:sz w:val="30"/>
          <w:szCs w:val="30"/>
          <w:highlight w:val="none"/>
        </w:rPr>
      </w:pPr>
      <w:r>
        <w:rPr>
          <w:rFonts w:hint="eastAsia" w:ascii="黑体" w:hAnsi="黑体" w:eastAsia="黑体"/>
          <w:color w:val="auto"/>
          <w:sz w:val="30"/>
          <w:szCs w:val="30"/>
          <w:highlight w:val="none"/>
        </w:rPr>
        <w:t>本项目属性：服务类项目</w:t>
      </w:r>
    </w:p>
    <w:p w14:paraId="28F32961">
      <w:pPr>
        <w:shd w:val="clear" w:color="auto"/>
        <w:spacing w:line="360" w:lineRule="auto"/>
        <w:ind w:firstLine="480"/>
        <w:jc w:val="left"/>
        <w:rPr>
          <w:rFonts w:ascii="宋体" w:hAnsi="宋体"/>
          <w:color w:val="auto"/>
          <w:sz w:val="24"/>
          <w:highlight w:val="none"/>
        </w:rPr>
      </w:pPr>
      <w:r>
        <w:rPr>
          <w:rFonts w:hint="eastAsia" w:ascii="宋体" w:hAnsi="宋体"/>
          <w:color w:val="auto"/>
          <w:sz w:val="24"/>
          <w:highlight w:val="none"/>
          <w:lang w:eastAsia="zh-CN"/>
        </w:rPr>
        <w:t>供应商</w:t>
      </w:r>
      <w:r>
        <w:rPr>
          <w:rFonts w:hint="eastAsia" w:ascii="宋体" w:hAnsi="宋体"/>
          <w:color w:val="auto"/>
          <w:sz w:val="24"/>
          <w:highlight w:val="none"/>
        </w:rPr>
        <w:t>所投内容必须满足以下要求，不得有负偏离。</w:t>
      </w:r>
    </w:p>
    <w:p w14:paraId="07F0BE89">
      <w:pPr>
        <w:shd w:val="clear" w:color="auto"/>
        <w:spacing w:line="360" w:lineRule="auto"/>
        <w:ind w:firstLine="480"/>
        <w:rPr>
          <w:rFonts w:ascii="宋体" w:hAnsi="宋体"/>
          <w:bCs/>
          <w:color w:val="auto"/>
          <w:sz w:val="24"/>
          <w:highlight w:val="none"/>
        </w:rPr>
      </w:pPr>
      <w:r>
        <w:rPr>
          <w:rFonts w:hint="eastAsia" w:ascii="宋体" w:hAnsi="宋体"/>
          <w:bCs/>
          <w:color w:val="auto"/>
          <w:sz w:val="24"/>
          <w:highlight w:val="none"/>
        </w:rPr>
        <w:t>本项目标的物所属行业：</w:t>
      </w:r>
      <w:r>
        <w:rPr>
          <w:rFonts w:hint="eastAsia" w:ascii="宋体" w:hAnsi="宋体" w:cs="宋体"/>
          <w:color w:val="auto"/>
          <w:sz w:val="24"/>
          <w:highlight w:val="none"/>
        </w:rPr>
        <w:t>餐饮业</w:t>
      </w:r>
    </w:p>
    <w:p w14:paraId="2EC82BD6">
      <w:pPr>
        <w:shd w:val="clear" w:color="auto"/>
        <w:spacing w:line="360" w:lineRule="auto"/>
        <w:ind w:firstLine="602"/>
        <w:rPr>
          <w:rFonts w:ascii="宋体" w:hAnsi="宋体"/>
          <w:b/>
          <w:color w:val="auto"/>
          <w:sz w:val="30"/>
          <w:szCs w:val="30"/>
          <w:highlight w:val="none"/>
        </w:rPr>
      </w:pPr>
      <w:r>
        <w:rPr>
          <w:rFonts w:hint="eastAsia" w:ascii="宋体" w:hAnsi="宋体"/>
          <w:b/>
          <w:color w:val="auto"/>
          <w:sz w:val="30"/>
          <w:szCs w:val="30"/>
          <w:highlight w:val="none"/>
        </w:rPr>
        <w:t>第一部分  项目技术要求</w:t>
      </w:r>
    </w:p>
    <w:p w14:paraId="55F48E5C">
      <w:pPr>
        <w:adjustRightInd w:val="0"/>
        <w:snapToGrid w:val="0"/>
        <w:spacing w:line="360" w:lineRule="auto"/>
        <w:ind w:firstLine="480" w:firstLineChars="200"/>
        <w:jc w:val="left"/>
        <w:rPr>
          <w:rFonts w:ascii="宋体" w:hAnsi="宋体" w:cs="仿宋_GB2312"/>
          <w:bCs/>
          <w:color w:val="auto"/>
          <w:sz w:val="24"/>
          <w:szCs w:val="24"/>
          <w:highlight w:val="none"/>
        </w:rPr>
      </w:pPr>
      <w:r>
        <w:rPr>
          <w:rFonts w:hint="eastAsia" w:ascii="宋体" w:hAnsi="宋体" w:cs="仿宋_GB2312"/>
          <w:bCs/>
          <w:color w:val="auto"/>
          <w:sz w:val="24"/>
          <w:szCs w:val="24"/>
          <w:highlight w:val="none"/>
        </w:rPr>
        <w:t>一、项目技术要求：</w:t>
      </w:r>
    </w:p>
    <w:p w14:paraId="23A0717E">
      <w:pPr>
        <w:adjustRightInd w:val="0"/>
        <w:snapToGrid w:val="0"/>
        <w:spacing w:line="360" w:lineRule="auto"/>
        <w:ind w:firstLine="480" w:firstLineChars="200"/>
        <w:jc w:val="left"/>
        <w:rPr>
          <w:rFonts w:ascii="宋体" w:hAnsi="宋体" w:cs="仿宋_GB2312"/>
          <w:bCs/>
          <w:color w:val="auto"/>
          <w:sz w:val="24"/>
          <w:szCs w:val="24"/>
          <w:highlight w:val="none"/>
        </w:rPr>
      </w:pPr>
      <w:r>
        <w:rPr>
          <w:rFonts w:hint="eastAsia" w:ascii="宋体" w:hAnsi="宋体" w:cs="仿宋_GB2312"/>
          <w:bCs/>
          <w:color w:val="auto"/>
          <w:sz w:val="24"/>
          <w:szCs w:val="24"/>
          <w:highlight w:val="none"/>
        </w:rPr>
        <w:t>本次采购项目为无锡市文华路199号餐厅的餐饮服务外包，投标单位可对采购人实地情况进行查看，相关需求和服务要求如下：</w:t>
      </w:r>
    </w:p>
    <w:p w14:paraId="54C42C66">
      <w:pPr>
        <w:adjustRightInd w:val="0"/>
        <w:snapToGrid w:val="0"/>
        <w:spacing w:line="360" w:lineRule="auto"/>
        <w:ind w:firstLine="480" w:firstLineChars="200"/>
        <w:jc w:val="left"/>
        <w:rPr>
          <w:rFonts w:ascii="宋体" w:hAnsi="宋体" w:cs="仿宋_GB2312"/>
          <w:bCs/>
          <w:color w:val="auto"/>
          <w:sz w:val="24"/>
          <w:szCs w:val="24"/>
          <w:highlight w:val="none"/>
        </w:rPr>
      </w:pPr>
      <w:r>
        <w:rPr>
          <w:rFonts w:hint="eastAsia" w:ascii="宋体" w:hAnsi="宋体" w:cs="仿宋_GB2312"/>
          <w:bCs/>
          <w:color w:val="auto"/>
          <w:sz w:val="24"/>
          <w:szCs w:val="24"/>
          <w:highlight w:val="none"/>
        </w:rPr>
        <w:t>（一）基本情况：</w:t>
      </w:r>
    </w:p>
    <w:p w14:paraId="083DA349">
      <w:pPr>
        <w:adjustRightInd w:val="0"/>
        <w:snapToGrid w:val="0"/>
        <w:spacing w:line="360" w:lineRule="auto"/>
        <w:ind w:firstLine="480" w:firstLineChars="200"/>
        <w:jc w:val="left"/>
        <w:rPr>
          <w:rFonts w:ascii="宋体" w:hAnsi="宋体" w:cs="仿宋_GB2312"/>
          <w:bCs/>
          <w:color w:val="auto"/>
          <w:sz w:val="24"/>
          <w:szCs w:val="24"/>
          <w:highlight w:val="none"/>
        </w:rPr>
      </w:pPr>
      <w:r>
        <w:rPr>
          <w:rFonts w:hint="eastAsia" w:ascii="宋体" w:hAnsi="宋体" w:cs="仿宋_GB2312"/>
          <w:bCs/>
          <w:color w:val="auto"/>
          <w:sz w:val="24"/>
          <w:szCs w:val="24"/>
          <w:highlight w:val="none"/>
        </w:rPr>
        <w:t>1.项目名称：文华路199号餐饮服务外包。</w:t>
      </w:r>
    </w:p>
    <w:p w14:paraId="630EC816">
      <w:pPr>
        <w:adjustRightInd w:val="0"/>
        <w:snapToGrid w:val="0"/>
        <w:spacing w:line="360" w:lineRule="auto"/>
        <w:ind w:firstLine="480" w:firstLineChars="200"/>
        <w:jc w:val="left"/>
        <w:rPr>
          <w:rFonts w:ascii="宋体" w:hAnsi="宋体" w:cs="仿宋_GB2312"/>
          <w:bCs/>
          <w:color w:val="auto"/>
          <w:sz w:val="24"/>
          <w:szCs w:val="24"/>
          <w:highlight w:val="none"/>
        </w:rPr>
      </w:pPr>
      <w:r>
        <w:rPr>
          <w:rFonts w:hint="eastAsia" w:ascii="宋体" w:hAnsi="宋体" w:cs="仿宋_GB2312"/>
          <w:bCs/>
          <w:color w:val="auto"/>
          <w:sz w:val="24"/>
          <w:szCs w:val="24"/>
          <w:highlight w:val="none"/>
        </w:rPr>
        <w:t>2.项目基本概况：项目位于无锡市梁溪区文华路199号(内设餐厅和厨房各1间共约1655平方米左右)，共有办公人员及保障人员约600人左右。</w:t>
      </w:r>
    </w:p>
    <w:p w14:paraId="556AF680">
      <w:pPr>
        <w:adjustRightInd w:val="0"/>
        <w:snapToGrid w:val="0"/>
        <w:spacing w:line="360" w:lineRule="auto"/>
        <w:ind w:firstLine="480" w:firstLineChars="200"/>
        <w:jc w:val="left"/>
        <w:rPr>
          <w:rFonts w:ascii="宋体" w:hAnsi="宋体" w:cs="仿宋_GB2312"/>
          <w:bCs/>
          <w:color w:val="auto"/>
          <w:sz w:val="24"/>
          <w:szCs w:val="24"/>
          <w:highlight w:val="none"/>
        </w:rPr>
      </w:pPr>
      <w:r>
        <w:rPr>
          <w:rFonts w:hint="eastAsia" w:ascii="宋体" w:hAnsi="宋体" w:cs="仿宋_GB2312"/>
          <w:bCs/>
          <w:color w:val="auto"/>
          <w:sz w:val="24"/>
          <w:szCs w:val="24"/>
          <w:highlight w:val="none"/>
        </w:rPr>
        <w:t>3.服务地点：无锡市文华路199号大楼三楼餐厅。</w:t>
      </w:r>
    </w:p>
    <w:p w14:paraId="5C7F44B7">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4.服务时间：合同签订生效之日起三年。</w:t>
      </w:r>
    </w:p>
    <w:p w14:paraId="32490799">
      <w:pPr>
        <w:adjustRightInd w:val="0"/>
        <w:snapToGrid w:val="0"/>
        <w:spacing w:line="360" w:lineRule="auto"/>
        <w:ind w:firstLine="480" w:firstLineChars="200"/>
        <w:jc w:val="left"/>
        <w:rPr>
          <w:rFonts w:hint="eastAsia" w:ascii="宋体" w:hAnsi="宋体" w:cs="仿宋_GB2312"/>
          <w:bCs/>
          <w:color w:val="auto"/>
          <w:sz w:val="24"/>
          <w:szCs w:val="24"/>
          <w:highlight w:val="none"/>
        </w:rPr>
      </w:pPr>
      <w:r>
        <w:rPr>
          <w:rFonts w:hint="eastAsia" w:ascii="宋体" w:hAnsi="宋体" w:cs="仿宋_GB2312"/>
          <w:bCs/>
          <w:color w:val="auto"/>
          <w:sz w:val="24"/>
          <w:szCs w:val="24"/>
          <w:highlight w:val="none"/>
        </w:rPr>
        <w:t>5.具体要求：</w:t>
      </w:r>
    </w:p>
    <w:p w14:paraId="5B7523A8">
      <w:pPr>
        <w:adjustRightInd w:val="0"/>
        <w:snapToGrid w:val="0"/>
        <w:spacing w:line="360" w:lineRule="auto"/>
        <w:ind w:firstLine="480" w:firstLineChars="200"/>
        <w:jc w:val="left"/>
        <w:rPr>
          <w:rFonts w:hint="eastAsia" w:ascii="宋体" w:hAnsi="宋体" w:cs="仿宋_GB2312"/>
          <w:bCs/>
          <w:color w:val="auto"/>
          <w:sz w:val="24"/>
          <w:szCs w:val="24"/>
          <w:highlight w:val="none"/>
        </w:rPr>
      </w:pPr>
      <w:r>
        <w:rPr>
          <w:rFonts w:hint="eastAsia" w:ascii="宋体" w:hAnsi="宋体" w:cs="仿宋_GB2312"/>
          <w:bCs/>
          <w:color w:val="auto"/>
          <w:sz w:val="24"/>
          <w:szCs w:val="24"/>
          <w:highlight w:val="none"/>
        </w:rPr>
        <w:t>（1）供餐要求：开餐天数为全年（节假日除外），供应早餐和中餐，早餐服务约200人用餐、中餐服务约600人用餐，承担传统节日应节保障、特色美食研发及活动等。其他需增加的餐饮服务项目必须无偿提供服务。</w:t>
      </w:r>
    </w:p>
    <w:p w14:paraId="616B21EC">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（2）人员要求：</w:t>
      </w:r>
      <w:r>
        <w:rPr>
          <w:rFonts w:hint="eastAsia" w:ascii="宋体" w:hAnsi="宋体"/>
          <w:color w:val="auto"/>
          <w:sz w:val="24"/>
          <w:szCs w:val="24"/>
          <w:highlight w:val="none"/>
        </w:rPr>
        <w:t>本项目配置人员不少于19人。</w:t>
      </w:r>
      <w:r>
        <w:rPr>
          <w:rFonts w:hint="eastAsia" w:ascii="宋体" w:hAnsi="宋体"/>
          <w:bCs/>
          <w:color w:val="auto"/>
          <w:sz w:val="24"/>
          <w:szCs w:val="24"/>
          <w:highlight w:val="none"/>
        </w:rPr>
        <w:t>投标人针对本项目所进驻员工年龄，男性不得超过55周岁、女性不得超过50周岁。</w:t>
      </w:r>
      <w:r>
        <w:rPr>
          <w:rFonts w:hint="eastAsia" w:ascii="宋体" w:hAnsi="宋体"/>
          <w:color w:val="auto"/>
          <w:sz w:val="24"/>
          <w:szCs w:val="24"/>
          <w:highlight w:val="none"/>
        </w:rPr>
        <w:t>其中包含餐厅项目经理1名，厨师长1名，厨师4名，点心厨师2名，配菜、服务员10名，餐饮采购员1名。中标单位根据采购人要求落实定岗定人，员工工资不得低于无锡最低保障工资，需根据国家劳动部门规定缴纳相应社保及公积金等。员工工资、社保费用、税金、保险等法定费用为不可让利部分（不可竞争费</w:t>
      </w:r>
      <w:r>
        <w:rPr>
          <w:rFonts w:hint="eastAsia" w:ascii="宋体" w:hAnsi="宋体" w:cs="仿宋_GB2312"/>
          <w:bCs/>
          <w:color w:val="auto"/>
          <w:sz w:val="24"/>
          <w:szCs w:val="24"/>
          <w:highlight w:val="none"/>
        </w:rPr>
        <w:t>用），须按规定计算并报出薪酬体系，投标总报价不可低于上述相关费用合计，否则作无效投标处理。</w:t>
      </w:r>
    </w:p>
    <w:p w14:paraId="1B2C8C6E">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（3）岗位要求：所有人员必须持《健康证》上岗，政审合格、身体健康、无重大传染性疾病。</w:t>
      </w:r>
    </w:p>
    <w:p w14:paraId="286E2245">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4）报价人必须提供员工工资体系、绩效奖励体系，并结合明细报价表提供各岗位“人员薪酬体系说明（表）”。通过评价薪酬体系考评方案是否符合相关行业内的工资水平标准而且具有可操性及合理性。实际发放工资及奖励应与投标工资及绩效奖励体系相一致，确保员工的利益不受损，确保服务队伍稳定，否则依据考核办法处置。</w:t>
      </w:r>
    </w:p>
    <w:p w14:paraId="4FB304F4">
      <w:pPr>
        <w:spacing w:line="360" w:lineRule="auto"/>
        <w:ind w:firstLine="480" w:firstLineChars="200"/>
        <w:rPr>
          <w:rFonts w:ascii="宋体" w:hAnsi="宋体" w:cs="仿宋_GB2312"/>
          <w:color w:val="auto"/>
          <w:sz w:val="24"/>
          <w:szCs w:val="24"/>
          <w:highlight w:val="none"/>
        </w:rPr>
      </w:pPr>
      <w:r>
        <w:rPr>
          <w:rFonts w:hint="eastAsia" w:ascii="宋体" w:hAnsi="宋体" w:cs="仿宋_GB2312"/>
          <w:bCs/>
          <w:color w:val="auto"/>
          <w:sz w:val="24"/>
          <w:szCs w:val="24"/>
          <w:highlight w:val="none"/>
        </w:rPr>
        <w:t>（5）</w:t>
      </w:r>
      <w:r>
        <w:rPr>
          <w:rFonts w:hint="eastAsia" w:ascii="宋体" w:hAnsi="宋体" w:cs="仿宋_GB2312"/>
          <w:color w:val="auto"/>
          <w:sz w:val="24"/>
          <w:szCs w:val="24"/>
          <w:highlight w:val="none"/>
        </w:rPr>
        <w:t>采购人</w:t>
      </w:r>
      <w:r>
        <w:rPr>
          <w:rFonts w:hint="eastAsia" w:ascii="宋体" w:hAnsi="宋体"/>
          <w:color w:val="auto"/>
          <w:sz w:val="24"/>
          <w:szCs w:val="24"/>
          <w:highlight w:val="none"/>
        </w:rPr>
        <w:t>提供中标单位员工有偿</w:t>
      </w:r>
      <w:r>
        <w:rPr>
          <w:rFonts w:hint="eastAsia" w:ascii="宋体" w:hAnsi="宋体"/>
          <w:color w:val="auto"/>
          <w:sz w:val="24"/>
          <w:szCs w:val="24"/>
          <w:highlight w:val="none"/>
          <w:lang w:val="en-US" w:eastAsia="zh-CN"/>
        </w:rPr>
        <w:t>中餐</w:t>
      </w:r>
      <w:r>
        <w:rPr>
          <w:rFonts w:hint="eastAsia" w:ascii="宋体" w:hAnsi="宋体"/>
          <w:color w:val="auto"/>
          <w:sz w:val="24"/>
          <w:szCs w:val="24"/>
          <w:highlight w:val="none"/>
        </w:rPr>
        <w:t>用餐，由中标单位</w:t>
      </w:r>
      <w:r>
        <w:rPr>
          <w:rFonts w:ascii="Segoe UI" w:hAnsi="Segoe UI" w:eastAsia="Segoe UI" w:cs="Segoe UI"/>
          <w:i w:val="0"/>
          <w:iCs w:val="0"/>
          <w:caps w:val="0"/>
          <w:color w:val="auto"/>
          <w:spacing w:val="0"/>
          <w:sz w:val="24"/>
          <w:szCs w:val="24"/>
          <w:highlight w:val="none"/>
          <w:shd w:val="clear" w:fill="FFFFFF"/>
        </w:rPr>
        <w:t>支付费用（有偿）</w:t>
      </w:r>
      <w:r>
        <w:rPr>
          <w:rFonts w:hint="eastAsia" w:ascii="宋体" w:hAnsi="宋体" w:cs="仿宋_GB2312"/>
          <w:color w:val="auto"/>
          <w:sz w:val="24"/>
          <w:szCs w:val="24"/>
          <w:highlight w:val="none"/>
        </w:rPr>
        <w:t>。不提供员工住宿、交通等条件。</w:t>
      </w:r>
    </w:p>
    <w:p w14:paraId="0C5B8BD7">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（6）中标后根据要求及时办理《食品经营许可证》。</w:t>
      </w:r>
    </w:p>
    <w:p w14:paraId="464432EC">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（7）服务期间采购方如需增加服务内容，中标人必须无条件服从，并且不另付服务费用。</w:t>
      </w:r>
    </w:p>
    <w:p w14:paraId="465B2F1A">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（8）</w:t>
      </w:r>
      <w:r>
        <w:rPr>
          <w:rFonts w:hint="eastAsia" w:ascii="宋体" w:hAnsi="宋体" w:cs="仿宋_GB2312"/>
          <w:color w:val="auto"/>
          <w:sz w:val="24"/>
          <w:szCs w:val="24"/>
          <w:highlight w:val="none"/>
        </w:rPr>
        <w:t>餐厅内所需的低值易耗用品如</w:t>
      </w:r>
      <w:r>
        <w:rPr>
          <w:rFonts w:hint="eastAsia" w:ascii="宋体" w:hAnsi="宋体" w:cs="仿宋_GB2312"/>
          <w:bCs/>
          <w:color w:val="auto"/>
          <w:sz w:val="24"/>
          <w:szCs w:val="24"/>
          <w:highlight w:val="none"/>
        </w:rPr>
        <w:t>餐巾纸、</w:t>
      </w:r>
      <w:r>
        <w:rPr>
          <w:rFonts w:hint="eastAsia" w:ascii="宋体" w:hAnsi="宋体" w:cs="仿宋_GB2312"/>
          <w:color w:val="auto"/>
          <w:sz w:val="24"/>
          <w:szCs w:val="24"/>
          <w:highlight w:val="none"/>
        </w:rPr>
        <w:t>消毒（75%酒精消毒液、84消毒液）、洗涤（玻璃水、洗洁精、洗衣粉、碱粉）、保洁（扫把、簸箕、垃圾袋、百洁布）、手套、口罩等用品由中标单位自行承担（洗碗机的洗碗液除外）。其中消毒、洗涤液品牌、成份需经采购人同意方可使用。</w:t>
      </w:r>
    </w:p>
    <w:p w14:paraId="461CF26C">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9）费用支付方式：服务外包费用按月支付，每月中旬,根据考核结果，支付上月服务外包费用。支付费用时须提供《人员工资清单》（以银行入账工资清单回执为准）、《社保缴纳凭证》及个人缴费明细、《考勤记录》、《监管考核意见》四张表。中标单位经日常考核同意后开具发票，发票名称必须与中标单位一致，否则采购人有权拒付。投标方未按招标要求配备现场服务人员，以及未按实缴纳社保费用的，采购人将全额扣除涉及内容费用。另因中标单位未及时提供发票的，所造成的一切损失由中标单位负责。</w:t>
      </w:r>
    </w:p>
    <w:p w14:paraId="14B9AB5C">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（10）采购人每半年度对中标单位做一次综合评估，不合格者，采购人有权依照法律程序解除合同，并追究中标单位的违约责任。</w:t>
      </w:r>
    </w:p>
    <w:p w14:paraId="5AD363D6">
      <w:pPr>
        <w:spacing w:line="360" w:lineRule="auto"/>
        <w:ind w:firstLine="480" w:firstLineChars="200"/>
        <w:rPr>
          <w:rFonts w:ascii="宋体" w:hAnsi="宋体"/>
          <w:color w:val="auto"/>
          <w:sz w:val="24"/>
          <w:szCs w:val="24"/>
          <w:highlight w:val="none"/>
        </w:rPr>
      </w:pPr>
      <w:r>
        <w:rPr>
          <w:rFonts w:hint="eastAsia" w:ascii="宋体" w:hAnsi="宋体" w:cs="仿宋_GB2312"/>
          <w:bCs/>
          <w:color w:val="auto"/>
          <w:sz w:val="24"/>
          <w:szCs w:val="24"/>
          <w:highlight w:val="none"/>
        </w:rPr>
        <w:t>（11）</w:t>
      </w:r>
      <w:r>
        <w:rPr>
          <w:rFonts w:hint="eastAsia" w:ascii="宋体" w:hAnsi="宋体"/>
          <w:color w:val="auto"/>
          <w:sz w:val="24"/>
          <w:szCs w:val="24"/>
          <w:highlight w:val="none"/>
        </w:rPr>
        <w:t>餐厅需维修、维护和添置设备（设施）由中标单位书面上报，中标单位负责单次300元以下（含300元）维修材料及人工费用；如因中标单位操作不当损坏设备设施影响用餐，维修费、误餐费由中标单位承担。</w:t>
      </w:r>
    </w:p>
    <w:p w14:paraId="38D89CE7">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（12）中标单位对其工作人员负有政治思想、日常表现、业务技术、健康状况的审核责任，工作人员必须政审合格，身体健康，形体无明显缺陷，外貌端正，并经过岗前专业培训，并经采购人审核通过。</w:t>
      </w:r>
    </w:p>
    <w:p w14:paraId="227E891E">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（13）厨杂、餐具等用品允许中标人每年有5%的损耗，超出部分由中标人承担。</w:t>
      </w:r>
    </w:p>
    <w:p w14:paraId="1CEDF757">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（14）采购人不承担中标单位员工在合同期间所发生的福利费、工伤、生病住院、意外伤（亡）害等费用，如有上述费用，由中标单位承担。</w:t>
      </w:r>
    </w:p>
    <w:p w14:paraId="4681A2F5">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（15）投标人必须在满足招标文件要求的基础上进行报价，如有技术偏离请于投标偏离表中说明。</w:t>
      </w:r>
    </w:p>
    <w:p w14:paraId="327B2FA4">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（16）开标公示结束后，中标单位交接时间由采购人决定。</w:t>
      </w:r>
    </w:p>
    <w:p w14:paraId="4AF896FF">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（17）厉行节约、反对浪费，严格落实成本核算制度、制定食谱制度，控制好运行成本。</w:t>
      </w:r>
    </w:p>
    <w:p w14:paraId="73BE474F">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（18）完善各类台账，做好规范化管理，制度上墙，制定各岗位职责。</w:t>
      </w:r>
    </w:p>
    <w:p w14:paraId="7F7FFDCB">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（19）落实国有资产层级管理，中标单位明确资产管理员1名，负责采购人移交国有资产的日常管理工作。防止资产流失或浪费，未经采购人同意，严禁随意处置资产。</w:t>
      </w:r>
    </w:p>
    <w:p w14:paraId="09DCA096">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（二）服务内容及要求</w:t>
      </w:r>
    </w:p>
    <w:p w14:paraId="0DC13061">
      <w:pPr>
        <w:spacing w:line="360" w:lineRule="auto"/>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1.餐厅功能布局：文华路综合楼餐厅分布在大楼三楼东侧，共85张餐桌，可以满足约200人同时就餐，餐厅厨房操作间设置在三楼北侧。</w:t>
      </w:r>
    </w:p>
    <w:p w14:paraId="08D1DE2F">
      <w:pPr>
        <w:spacing w:line="360" w:lineRule="auto"/>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2.供餐安排</w:t>
      </w:r>
    </w:p>
    <w:p w14:paraId="0D02714B">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餐厅全年（节假日除外）提供早餐和中餐保障、传统节日应节保障、特色美食研发和活动等，早餐服务约200人用餐、中餐服务约600人用餐。开餐前，各岗位人员必须提前到岗（含项目经理、厨师长等），餐线服务人员不少于5人进行配置。</w:t>
      </w:r>
    </w:p>
    <w:p w14:paraId="1503C87B">
      <w:pPr>
        <w:adjustRightInd w:val="0"/>
        <w:snapToGrid w:val="0"/>
        <w:spacing w:line="360" w:lineRule="auto"/>
        <w:ind w:firstLine="480" w:firstLineChars="200"/>
        <w:rPr>
          <w:rFonts w:ascii="宋体" w:hAnsi="宋体" w:cs="仿宋_GB2312"/>
          <w:color w:val="auto"/>
          <w:sz w:val="24"/>
          <w:szCs w:val="24"/>
          <w:highlight w:val="none"/>
        </w:rPr>
      </w:pPr>
      <w:r>
        <w:rPr>
          <w:rFonts w:hint="eastAsia" w:ascii="宋体" w:hAnsi="宋体" w:cs="仿宋_GB2312"/>
          <w:bCs/>
          <w:color w:val="auto"/>
          <w:sz w:val="24"/>
          <w:szCs w:val="24"/>
          <w:highlight w:val="none"/>
        </w:rPr>
        <w:t>3.</w:t>
      </w:r>
      <w:r>
        <w:rPr>
          <w:rFonts w:hint="eastAsia" w:ascii="宋体" w:hAnsi="宋体" w:cs="仿宋_GB2312"/>
          <w:color w:val="auto"/>
          <w:sz w:val="24"/>
          <w:szCs w:val="24"/>
          <w:highlight w:val="none"/>
        </w:rPr>
        <w:t>用餐时段</w:t>
      </w:r>
    </w:p>
    <w:p w14:paraId="76652733">
      <w:pPr>
        <w:adjustRightInd w:val="0"/>
        <w:snapToGrid w:val="0"/>
        <w:spacing w:line="360" w:lineRule="auto"/>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早餐：07：30—08：50</w:t>
      </w:r>
    </w:p>
    <w:p w14:paraId="6A40AC22">
      <w:pPr>
        <w:adjustRightInd w:val="0"/>
        <w:snapToGrid w:val="0"/>
        <w:spacing w:line="360" w:lineRule="auto"/>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中餐：11：00—12：30</w:t>
      </w:r>
    </w:p>
    <w:p w14:paraId="52AED82A">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4.餐饮管理模式及要求</w:t>
      </w:r>
    </w:p>
    <w:p w14:paraId="3C63F5E5">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color w:val="auto"/>
          <w:sz w:val="24"/>
          <w:szCs w:val="24"/>
          <w:highlight w:val="none"/>
        </w:rPr>
        <w:t>采用包工管理和自行采购分离的餐饮运行管理模式。其中：采购人负责食品原材料采购、核价及成本核算和餐费收取；中标人提供服务人员及技术服务，负责菜单制定、菜点制作、</w:t>
      </w:r>
      <w:r>
        <w:rPr>
          <w:rFonts w:hint="eastAsia" w:ascii="宋体" w:hAnsi="宋体" w:cs="仿宋_GB2312"/>
          <w:bCs/>
          <w:color w:val="auto"/>
          <w:sz w:val="24"/>
          <w:szCs w:val="24"/>
          <w:highlight w:val="none"/>
        </w:rPr>
        <w:t>售卖、餐饮工艺流程实施管理、餐厅厨房保洁、餐厅安全管理以及“文华路后勤”菜品上新制作售卖、电子宣传屏的投屏播放等。</w:t>
      </w:r>
    </w:p>
    <w:p w14:paraId="3BBC1AD9">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4.1 提前一周上报周菜单，需经监管人审核同意后执行。</w:t>
      </w:r>
    </w:p>
    <w:p w14:paraId="6AAE37E9">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4.2餐厅所有人员必须持《食品安全健康证》上岗。</w:t>
      </w:r>
    </w:p>
    <w:p w14:paraId="48DB24FD">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4.3必须严格执行《食品安全法》等规定，确保饭菜不变质、变味。因管理、工艺流程不到位，引起病源性传播或食物中毒，中标人承担相应的法律和经济责任。</w:t>
      </w:r>
    </w:p>
    <w:p w14:paraId="007634B3">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4.4健全餐厅逐日消耗制度、食品留样制度、索证登记制度，并认真做好成本核算和膳食管理。</w:t>
      </w:r>
    </w:p>
    <w:p w14:paraId="139F939F">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4.5对在各级检查部门检查中发现的问题，采购方以书面形式向中标方下达整改通知。服务对象投诉经核实责令限期整改，如整改不及时、成效不明显的，根据情节对中标人每次处以5000～10000元违约罚款。</w:t>
      </w:r>
    </w:p>
    <w:p w14:paraId="598FA140">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4.6中标方每月负责餐饮服务的成本核算，负责厨余设备操作和垃圾回收。负责泔水、废油定点处理，同时负责维护餐厅就餐秩序，主动接受采购方和监督部门对餐厅食品安全检查。</w:t>
      </w:r>
    </w:p>
    <w:p w14:paraId="234454EA">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4.7中标人负责餐饮区域的控虫消杀和日常保洁工作，保持地面清洁、工作场所整洁、餐具用品卫生等，确保餐厨房无蝇、无虫。采购方邀请第三方对中标人的餐具、菜肴进行检测，在检测中有不合格餐具或菜肴，采购方按情节每次处以500～2000元罚款。</w:t>
      </w:r>
    </w:p>
    <w:p w14:paraId="54E67589">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4.8设置安全员1名，建立健全安全管理台帐及应急预案，负责餐厅食品安全、环境卫生、水、电、气、设备等安全检查，做好安全隐患或突发事件的应急处置工作，定期公示餐厅食品安全管理信息。</w:t>
      </w:r>
    </w:p>
    <w:p w14:paraId="7EE165E1">
      <w:pPr>
        <w:spacing w:line="360" w:lineRule="auto"/>
        <w:ind w:firstLine="480" w:firstLineChars="200"/>
        <w:rPr>
          <w:rFonts w:ascii="宋体" w:hAnsi="宋体"/>
          <w:color w:val="auto"/>
          <w:sz w:val="24"/>
          <w:szCs w:val="24"/>
          <w:highlight w:val="none"/>
        </w:rPr>
      </w:pPr>
      <w:r>
        <w:rPr>
          <w:rFonts w:hint="eastAsia" w:ascii="宋体" w:hAnsi="宋体" w:cs="仿宋_GB2312"/>
          <w:bCs/>
          <w:color w:val="auto"/>
          <w:sz w:val="24"/>
          <w:szCs w:val="24"/>
          <w:highlight w:val="none"/>
        </w:rPr>
        <w:t>4.9</w:t>
      </w:r>
      <w:r>
        <w:rPr>
          <w:rFonts w:hint="eastAsia" w:ascii="宋体" w:hAnsi="宋体"/>
          <w:color w:val="auto"/>
          <w:sz w:val="24"/>
          <w:szCs w:val="24"/>
          <w:highlight w:val="none"/>
        </w:rPr>
        <w:t>关于餐厅安全保障方面，每日做到工完即将所辖区域内水、电、气阀关闭，保障人员离开餐厅前关闭门窗；做好极端气候的应急预案落实相应管控措施；摄像头必须保持监控状态，不得遮掩。</w:t>
      </w:r>
    </w:p>
    <w:p w14:paraId="07057244">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5.餐饮销售方式</w:t>
      </w:r>
    </w:p>
    <w:p w14:paraId="25997967">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通常情况下，餐厅早餐餐线采用零点销售；中餐开设2条餐线售餐通道，采用自选式套餐销售。售卖对象为综合楼工作人员及服务保障人员，采取刷卡和餐券售餐。</w:t>
      </w:r>
    </w:p>
    <w:p w14:paraId="1AED5993">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6.餐饮供应要求：</w:t>
      </w:r>
    </w:p>
    <w:p w14:paraId="27E13786">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s="仿宋_GB2312"/>
          <w:color w:val="auto"/>
          <w:sz w:val="24"/>
          <w:szCs w:val="24"/>
          <w:highlight w:val="none"/>
        </w:rPr>
        <w:t>按照</w:t>
      </w:r>
      <w:r>
        <w:rPr>
          <w:rFonts w:hint="eastAsia" w:ascii="宋体" w:hAnsi="宋体" w:cs="仿宋_GB2312"/>
          <w:color w:val="auto"/>
          <w:sz w:val="24"/>
          <w:szCs w:val="24"/>
          <w:highlight w:val="none"/>
        </w:rPr>
        <w:t>采购人要求</w:t>
      </w:r>
      <w:r>
        <w:rPr>
          <w:rFonts w:ascii="宋体" w:hAnsi="宋体" w:cs="仿宋_GB2312"/>
          <w:color w:val="auto"/>
          <w:sz w:val="24"/>
          <w:szCs w:val="24"/>
          <w:highlight w:val="none"/>
        </w:rPr>
        <w:t>餐标配置</w:t>
      </w:r>
    </w:p>
    <w:p w14:paraId="2A97E338">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（2）严格按预审菜单保障，显示菜单必须与实际供应一致，更换菜品前必须经采购人同意。</w:t>
      </w:r>
    </w:p>
    <w:p w14:paraId="1C7E552F">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（3）餐厅设自取餐区、面食档、特色档、季节性特色保障等管理。</w:t>
      </w:r>
    </w:p>
    <w:p w14:paraId="1DCADB0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（4）餐厅每日</w:t>
      </w:r>
      <w:r>
        <w:rPr>
          <w:rFonts w:hint="eastAsia" w:ascii="宋体" w:hAnsi="宋体" w:cs="仿宋_GB2312"/>
          <w:color w:val="auto"/>
          <w:sz w:val="24"/>
          <w:szCs w:val="24"/>
          <w:highlight w:val="none"/>
        </w:rPr>
        <w:t>早餐供应（</w:t>
      </w:r>
      <w:r>
        <w:rPr>
          <w:rFonts w:ascii="宋体" w:hAnsi="宋体" w:cs="仿宋_GB2312"/>
          <w:color w:val="auto"/>
          <w:sz w:val="24"/>
          <w:szCs w:val="24"/>
          <w:highlight w:val="none"/>
        </w:rPr>
        <w:t>1</w:t>
      </w:r>
      <w:r>
        <w:rPr>
          <w:rFonts w:hint="eastAsia" w:ascii="宋体" w:hAnsi="宋体" w:cs="仿宋_GB2312"/>
          <w:color w:val="auto"/>
          <w:sz w:val="24"/>
          <w:szCs w:val="24"/>
          <w:highlight w:val="none"/>
        </w:rPr>
        <w:t>道白粥+</w:t>
      </w:r>
      <w:r>
        <w:rPr>
          <w:rFonts w:ascii="宋体" w:hAnsi="宋体" w:cs="仿宋_GB2312"/>
          <w:color w:val="auto"/>
          <w:sz w:val="24"/>
          <w:szCs w:val="24"/>
          <w:highlight w:val="none"/>
        </w:rPr>
        <w:t>1</w:t>
      </w:r>
      <w:r>
        <w:rPr>
          <w:rFonts w:hint="eastAsia" w:ascii="宋体" w:hAnsi="宋体" w:cs="仿宋_GB2312"/>
          <w:color w:val="auto"/>
          <w:sz w:val="24"/>
          <w:szCs w:val="24"/>
          <w:highlight w:val="none"/>
        </w:rPr>
        <w:t>道杂粮粥+1道饮品+2道蛋品+5道粥菜+3道中点+1道西点及早面和馄饨）；午餐套餐（</w:t>
      </w:r>
      <w:r>
        <w:rPr>
          <w:rFonts w:ascii="宋体" w:hAnsi="宋体" w:cs="仿宋_GB2312"/>
          <w:color w:val="auto"/>
          <w:sz w:val="24"/>
          <w:szCs w:val="24"/>
          <w:highlight w:val="none"/>
        </w:rPr>
        <w:t>2</w:t>
      </w:r>
      <w:r>
        <w:rPr>
          <w:rFonts w:hint="eastAsia" w:ascii="宋体" w:hAnsi="宋体" w:cs="仿宋_GB2312"/>
          <w:color w:val="auto"/>
          <w:sz w:val="24"/>
          <w:szCs w:val="24"/>
          <w:highlight w:val="none"/>
        </w:rPr>
        <w:t>大荤、2</w:t>
      </w:r>
      <w:r>
        <w:rPr>
          <w:rFonts w:ascii="宋体" w:hAnsi="宋体" w:cs="仿宋_GB2312"/>
          <w:color w:val="auto"/>
          <w:sz w:val="24"/>
          <w:szCs w:val="24"/>
          <w:highlight w:val="none"/>
        </w:rPr>
        <w:t>小荤、2蔬菜、1例汤、1米饭、</w:t>
      </w:r>
      <w:r>
        <w:rPr>
          <w:rFonts w:hint="eastAsia" w:ascii="宋体" w:hAnsi="宋体" w:cs="仿宋_GB2312"/>
          <w:color w:val="auto"/>
          <w:sz w:val="24"/>
          <w:szCs w:val="24"/>
          <w:highlight w:val="none"/>
        </w:rPr>
        <w:t>1杂粮、</w:t>
      </w:r>
      <w:r>
        <w:rPr>
          <w:rFonts w:ascii="宋体" w:hAnsi="宋体" w:cs="仿宋_GB2312"/>
          <w:color w:val="auto"/>
          <w:sz w:val="24"/>
          <w:szCs w:val="24"/>
          <w:highlight w:val="none"/>
        </w:rPr>
        <w:t>1</w:t>
      </w:r>
      <w:r>
        <w:rPr>
          <w:rFonts w:hint="eastAsia" w:ascii="宋体" w:hAnsi="宋体" w:cs="仿宋_GB2312"/>
          <w:color w:val="auto"/>
          <w:sz w:val="24"/>
          <w:szCs w:val="24"/>
          <w:highlight w:val="none"/>
        </w:rPr>
        <w:t>酸奶或水果</w:t>
      </w:r>
      <w:r>
        <w:rPr>
          <w:rFonts w:ascii="宋体" w:hAnsi="宋体" w:cs="仿宋_GB2312"/>
          <w:color w:val="auto"/>
          <w:sz w:val="24"/>
          <w:szCs w:val="24"/>
          <w:highlight w:val="none"/>
        </w:rPr>
        <w:t>）</w:t>
      </w:r>
      <w:r>
        <w:rPr>
          <w:rFonts w:hint="eastAsia" w:ascii="宋体" w:hAnsi="宋体" w:cs="仿宋_GB2312"/>
          <w:color w:val="auto"/>
          <w:sz w:val="24"/>
          <w:szCs w:val="24"/>
          <w:highlight w:val="none"/>
        </w:rPr>
        <w:t>；午餐特色餐（以中西式风味为主的特色料理，包括面档、馄饨、饺子、骨头粉丝煲、酸辣粉等特色餐）。</w:t>
      </w:r>
    </w:p>
    <w:p w14:paraId="24A5AC3E">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（5）每周提供一次大特色餐，如馄饨、水饺、面条、菜饭等。每日提供一次小特色餐，如炒饭、粥、甜汤等。传统节日需配合完成</w:t>
      </w:r>
      <w:r>
        <w:rPr>
          <w:rFonts w:hint="eastAsia"/>
          <w:color w:val="auto"/>
          <w:highlight w:val="none"/>
        </w:rPr>
        <w:t>节日蛋</w:t>
      </w:r>
      <w:r>
        <w:rPr>
          <w:rFonts w:hint="eastAsia" w:ascii="宋体" w:hAnsi="宋体" w:cs="仿宋_GB2312"/>
          <w:bCs/>
          <w:color w:val="auto"/>
          <w:sz w:val="24"/>
          <w:szCs w:val="24"/>
          <w:highlight w:val="none"/>
        </w:rPr>
        <w:t>糕、点心的制作供应。如遇夏季高温，按需供应消暑饮食，如绿豆汤等。</w:t>
      </w:r>
    </w:p>
    <w:p w14:paraId="54D1866D">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（6）做好文华路后勤餐饮服务，包括但不限于特色餐、搭伙单位部分打包服务、病号餐、点心外卖等品种图片拍摄、系统上新、制作售卖等。</w:t>
      </w:r>
    </w:p>
    <w:p w14:paraId="6C64638D">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（7）美食周、节日活动等特色餐饮必须有方案，提前做好电子屏、现场氛围营造、现场布置、各类提示牌等宣传工作。</w:t>
      </w:r>
    </w:p>
    <w:p w14:paraId="420B8958">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（8）构建双方预防机制，建立动态完善安全风险等级管控和隐患排查治理双重预防机制，在显著位置张贴风险辨识及管控“四色图”告知点位风险和管控措施。</w:t>
      </w:r>
    </w:p>
    <w:p w14:paraId="29034656">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（三）采购方的责任与义务：</w:t>
      </w:r>
    </w:p>
    <w:p w14:paraId="10DE9C9D">
      <w:pPr>
        <w:pStyle w:val="85"/>
        <w:spacing w:line="360" w:lineRule="auto"/>
        <w:ind w:left="0" w:leftChars="0" w:firstLine="480" w:firstLineChars="200"/>
        <w:rPr>
          <w:rFonts w:ascii="宋体" w:hAnsi="宋体"/>
          <w:bCs/>
          <w:color w:val="auto"/>
          <w:sz w:val="24"/>
          <w:szCs w:val="24"/>
          <w:highlight w:val="none"/>
        </w:rPr>
      </w:pPr>
      <w:r>
        <w:rPr>
          <w:rFonts w:hint="eastAsia" w:ascii="宋体" w:hAnsi="宋体"/>
          <w:bCs/>
          <w:color w:val="auto"/>
          <w:sz w:val="24"/>
          <w:szCs w:val="24"/>
          <w:highlight w:val="none"/>
        </w:rPr>
        <w:t>1.采购方提供食物原材料、餐厅及厨房硬件设备、餐具、厨具、炊具、餐桌椅、排风设备、排污设备、洗碗设备、能源（水、电、燃气）。</w:t>
      </w:r>
    </w:p>
    <w:p w14:paraId="216B9ABA">
      <w:pPr>
        <w:pStyle w:val="85"/>
        <w:spacing w:line="360" w:lineRule="auto"/>
        <w:ind w:left="0" w:leftChars="0" w:firstLine="480" w:firstLineChars="200"/>
        <w:rPr>
          <w:rFonts w:ascii="宋体" w:hAnsi="宋体"/>
          <w:bCs/>
          <w:color w:val="auto"/>
          <w:sz w:val="24"/>
          <w:szCs w:val="24"/>
          <w:highlight w:val="none"/>
        </w:rPr>
      </w:pPr>
      <w:r>
        <w:rPr>
          <w:rFonts w:hint="eastAsia" w:ascii="宋体" w:hAnsi="宋体"/>
          <w:bCs/>
          <w:color w:val="auto"/>
          <w:sz w:val="24"/>
          <w:szCs w:val="24"/>
          <w:highlight w:val="none"/>
        </w:rPr>
        <w:t>2.采购人将现有工作场所设施设备，各类物品列出清单，待中标单位进驻时，由采购人、中标单位双方办理交接手续，确认签字后各执一份。</w:t>
      </w:r>
    </w:p>
    <w:p w14:paraId="1F06525A">
      <w:pPr>
        <w:spacing w:line="440" w:lineRule="exact"/>
        <w:ind w:firstLine="480" w:firstLineChars="200"/>
        <w:rPr>
          <w:rFonts w:ascii="宋体" w:hAnsi="宋体"/>
          <w:color w:val="auto"/>
          <w:sz w:val="24"/>
          <w:szCs w:val="24"/>
          <w:highlight w:val="none"/>
        </w:rPr>
      </w:pPr>
      <w:r>
        <w:rPr>
          <w:rFonts w:hint="eastAsia" w:ascii="宋体" w:hAnsi="宋体"/>
          <w:bCs/>
          <w:color w:val="auto"/>
          <w:sz w:val="24"/>
          <w:szCs w:val="24"/>
          <w:highlight w:val="none"/>
        </w:rPr>
        <w:t>3.采购人保证工作所需的水、电、气正常供应，并对中标单位使用的水、电、</w:t>
      </w:r>
      <w:r>
        <w:rPr>
          <w:rFonts w:hint="eastAsia" w:ascii="宋体" w:hAnsi="宋体"/>
          <w:color w:val="auto"/>
          <w:sz w:val="24"/>
          <w:szCs w:val="24"/>
          <w:highlight w:val="none"/>
        </w:rPr>
        <w:t>气的进行定额管理和考核。</w:t>
      </w:r>
    </w:p>
    <w:p w14:paraId="2A882D4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4.采购人对所供厨杂用品允许每年有低于5%（含5%）的合理损耗，超出部分的损耗由中标单位承担并及时补齐。</w:t>
      </w:r>
    </w:p>
    <w:p w14:paraId="70C8447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5.采购人负责按中标单位开具的采购食料和辅料清单审核后负责定向采购。</w:t>
      </w:r>
    </w:p>
    <w:p w14:paraId="27F9EAB5">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对在检查中发现的问题，采购人以书面形式向中标单位下达整改通知；对服务对象投诉，采购人经核实，责令限期整改。如整改不及时、成效不明显的，采购人追究中标单位违约责任，根据情节对中标单位每次处以1000-3000元违约罚款。</w:t>
      </w:r>
    </w:p>
    <w:p w14:paraId="40F25F3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7.如中标单位对食品安全或工作出现较大失误时，采购人</w:t>
      </w:r>
      <w:r>
        <w:rPr>
          <w:rFonts w:hint="eastAsia" w:ascii="宋体" w:hAnsi="宋体"/>
          <w:bCs/>
          <w:color w:val="auto"/>
          <w:sz w:val="24"/>
          <w:szCs w:val="24"/>
          <w:highlight w:val="none"/>
        </w:rPr>
        <w:t>有权依照法律程序解除合同，并追究中标单位的违约责任。</w:t>
      </w:r>
    </w:p>
    <w:p w14:paraId="0A108EFD">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8.采购人不承担中标单位员工在合同期内所发生的一切费用，如工资、社会保险费、福利费、服装费、体检费、培训费、工伤、生病住院、意外伤(亡）害等任何费用。</w:t>
      </w:r>
    </w:p>
    <w:p w14:paraId="3E2408C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9.采购人有权对中标单位每天菜品的份量、质量、品质色味进行监督、验收。</w:t>
      </w:r>
    </w:p>
    <w:p w14:paraId="23CA5F36">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10.采购人提供中标单位员工有偿</w:t>
      </w:r>
      <w:r>
        <w:rPr>
          <w:rFonts w:hint="eastAsia" w:ascii="宋体" w:hAnsi="宋体"/>
          <w:color w:val="auto"/>
          <w:sz w:val="24"/>
          <w:szCs w:val="24"/>
          <w:highlight w:val="none"/>
          <w:lang w:val="en-US" w:eastAsia="zh-CN"/>
        </w:rPr>
        <w:t>中餐</w:t>
      </w:r>
      <w:r>
        <w:rPr>
          <w:rFonts w:hint="eastAsia" w:ascii="宋体" w:hAnsi="宋体"/>
          <w:color w:val="auto"/>
          <w:sz w:val="24"/>
          <w:szCs w:val="24"/>
          <w:highlight w:val="none"/>
        </w:rPr>
        <w:t>用餐，由中标单位</w:t>
      </w:r>
      <w:r>
        <w:rPr>
          <w:rFonts w:ascii="Segoe UI" w:hAnsi="Segoe UI" w:eastAsia="Segoe UI" w:cs="Segoe UI"/>
          <w:i w:val="0"/>
          <w:iCs w:val="0"/>
          <w:caps w:val="0"/>
          <w:color w:val="auto"/>
          <w:spacing w:val="0"/>
          <w:sz w:val="24"/>
          <w:szCs w:val="24"/>
          <w:highlight w:val="none"/>
          <w:shd w:val="clear" w:fill="FFFFFF"/>
        </w:rPr>
        <w:t>支付费用（有偿）</w:t>
      </w:r>
      <w:r>
        <w:rPr>
          <w:rFonts w:hint="eastAsia" w:ascii="宋体" w:hAnsi="宋体"/>
          <w:color w:val="auto"/>
          <w:sz w:val="24"/>
          <w:szCs w:val="24"/>
          <w:highlight w:val="none"/>
        </w:rPr>
        <w:t>。</w:t>
      </w:r>
    </w:p>
    <w:p w14:paraId="2279880D">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（四）中标供应商的责任与义务：</w:t>
      </w:r>
    </w:p>
    <w:p w14:paraId="7370C4F0">
      <w:pPr>
        <w:spacing w:line="360" w:lineRule="auto"/>
        <w:ind w:firstLine="480" w:firstLineChars="200"/>
        <w:rPr>
          <w:rFonts w:ascii="宋体" w:hAnsi="宋体" w:cs="仿宋_GB2312"/>
          <w:bCs/>
          <w:color w:val="auto"/>
          <w:sz w:val="24"/>
          <w:szCs w:val="24"/>
          <w:highlight w:val="none"/>
        </w:rPr>
      </w:pPr>
      <w:r>
        <w:rPr>
          <w:rFonts w:ascii="宋体" w:hAnsi="宋体" w:cs="仿宋_GB2312"/>
          <w:bCs/>
          <w:color w:val="auto"/>
          <w:sz w:val="24"/>
          <w:szCs w:val="24"/>
          <w:highlight w:val="none"/>
        </w:rPr>
        <w:t>1.</w:t>
      </w:r>
      <w:r>
        <w:rPr>
          <w:rFonts w:hint="eastAsia" w:ascii="宋体" w:hAnsi="宋体" w:cs="仿宋_GB2312"/>
          <w:bCs/>
          <w:color w:val="auto"/>
          <w:sz w:val="24"/>
          <w:szCs w:val="24"/>
          <w:highlight w:val="none"/>
        </w:rPr>
        <w:t xml:space="preserve">采购人在项目评审结束至合同签订、履约期间，有权要求投标人出具投标文件中的相关证明材料原件，予以确认其真实性和有效性，如出现与事实不符等情况，将根据有关规定以“提供虚假材料谋取中标”予以处罚。所属人员政审不合格的，对中标单位处每人次以1000元罚款，并责令辞退。 </w:t>
      </w:r>
    </w:p>
    <w:p w14:paraId="01B78EA9">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2</w:t>
      </w:r>
      <w:r>
        <w:rPr>
          <w:rFonts w:ascii="宋体" w:hAnsi="宋体" w:cs="仿宋_GB2312"/>
          <w:bCs/>
          <w:color w:val="auto"/>
          <w:sz w:val="24"/>
          <w:szCs w:val="24"/>
          <w:highlight w:val="none"/>
        </w:rPr>
        <w:t>.</w:t>
      </w:r>
      <w:r>
        <w:rPr>
          <w:rFonts w:hint="eastAsia" w:ascii="宋体" w:hAnsi="宋体" w:cs="仿宋_GB2312"/>
          <w:bCs/>
          <w:color w:val="auto"/>
          <w:sz w:val="24"/>
          <w:szCs w:val="24"/>
          <w:highlight w:val="none"/>
        </w:rPr>
        <w:t>报价人报价应须符合国家、省、市的相关规定，符合无锡市最低工资标准且必须缴纳社会保险费及公积金。主要包含以下内容：人员的工资、社保及公积金、商业保险、福利待遇以及其他各类管理费用、开票税金等。</w:t>
      </w:r>
    </w:p>
    <w:p w14:paraId="391749FC">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3</w:t>
      </w:r>
      <w:r>
        <w:rPr>
          <w:rFonts w:ascii="宋体" w:hAnsi="宋体" w:cs="仿宋_GB2312"/>
          <w:bCs/>
          <w:color w:val="auto"/>
          <w:sz w:val="24"/>
          <w:szCs w:val="24"/>
          <w:highlight w:val="none"/>
        </w:rPr>
        <w:t>.</w:t>
      </w:r>
      <w:r>
        <w:rPr>
          <w:rFonts w:hint="eastAsia" w:ascii="宋体" w:hAnsi="宋体" w:cs="仿宋_GB2312"/>
          <w:bCs/>
          <w:color w:val="auto"/>
          <w:sz w:val="24"/>
          <w:szCs w:val="24"/>
          <w:highlight w:val="none"/>
        </w:rPr>
        <w:t>中标单位应按照相关规定，与所有聘用人员依法签订劳动合同，每年组织安全管理教育、烹饪技能培训、季节性预防事故培训、服务技能培训及消防技能培训分别不少于1次。相关培训每缺少1次，对中标单位处以1000元罚款。未遵守防火安全规定，油污清理不及时，灭火设施配备不齐全、功能不完备，对中标单位每次处以200-1000元罚款。</w:t>
      </w:r>
    </w:p>
    <w:p w14:paraId="6ABF0F96">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4.中标单位负责泔水、废油定点处理，厨房设备维修养护、厨房及餐厅清洁。餐具清洗消毒不合格的，对中标单位每次处以100-500元罚款。</w:t>
      </w:r>
    </w:p>
    <w:p w14:paraId="00FB9990">
      <w:pPr>
        <w:pStyle w:val="85"/>
        <w:spacing w:line="360" w:lineRule="auto"/>
        <w:ind w:left="0" w:leftChars="0" w:firstLine="480" w:firstLineChars="200"/>
        <w:rPr>
          <w:rFonts w:ascii="宋体" w:hAnsi="宋体"/>
          <w:color w:val="auto"/>
          <w:sz w:val="24"/>
          <w:szCs w:val="24"/>
          <w:highlight w:val="none"/>
        </w:rPr>
      </w:pPr>
      <w:r>
        <w:rPr>
          <w:rFonts w:ascii="宋体" w:hAnsi="宋体" w:cs="楷体_GB2312"/>
          <w:bCs/>
          <w:color w:val="auto"/>
          <w:sz w:val="24"/>
          <w:szCs w:val="24"/>
          <w:highlight w:val="none"/>
        </w:rPr>
        <w:t>5.</w:t>
      </w:r>
      <w:r>
        <w:rPr>
          <w:rFonts w:hint="eastAsia" w:ascii="宋体" w:hAnsi="宋体"/>
          <w:color w:val="auto"/>
          <w:sz w:val="24"/>
          <w:szCs w:val="24"/>
          <w:highlight w:val="none"/>
        </w:rPr>
        <w:t>中标供应商负责食品原材料搬运，配合采购方验收、运输等工作。</w:t>
      </w:r>
    </w:p>
    <w:p w14:paraId="6CA2C3E8">
      <w:pPr>
        <w:spacing w:line="360" w:lineRule="auto"/>
        <w:ind w:firstLine="480" w:firstLineChars="200"/>
        <w:rPr>
          <w:rFonts w:ascii="宋体" w:hAnsi="宋体" w:cs="仿宋_GB2312"/>
          <w:color w:val="auto"/>
          <w:kern w:val="0"/>
          <w:sz w:val="24"/>
          <w:szCs w:val="24"/>
          <w:highlight w:val="none"/>
        </w:rPr>
      </w:pPr>
      <w:r>
        <w:rPr>
          <w:rFonts w:hint="eastAsia" w:ascii="宋体" w:hAnsi="宋体"/>
          <w:color w:val="auto"/>
          <w:sz w:val="24"/>
          <w:szCs w:val="24"/>
          <w:highlight w:val="none"/>
        </w:rPr>
        <w:t>6.</w:t>
      </w:r>
      <w:r>
        <w:rPr>
          <w:rFonts w:hint="eastAsia" w:ascii="宋体" w:hAnsi="宋体" w:cs="仿宋_GB2312"/>
          <w:color w:val="auto"/>
          <w:kern w:val="0"/>
          <w:sz w:val="24"/>
          <w:szCs w:val="24"/>
          <w:highlight w:val="none"/>
        </w:rPr>
        <w:t>投标人需提供针对本项目有效的用工人员身份证、健康证明及从事餐饮服务的相关岗位证书等复印件。确定中标后，中标单位须按采购人要求，提供所有用工人员相关材料给采购人备案，且未经采购人许可，不得更换项目负责人。未经采购人同意，自行更换管理人员，对中标单位每次处以1000元罚款。</w:t>
      </w:r>
    </w:p>
    <w:p w14:paraId="245E8F2E">
      <w:pPr>
        <w:spacing w:line="360" w:lineRule="auto"/>
        <w:ind w:firstLine="480" w:firstLineChars="200"/>
        <w:rPr>
          <w:rFonts w:ascii="宋体" w:hAnsi="宋体" w:cs="仿宋_GB2312"/>
          <w:color w:val="auto"/>
          <w:kern w:val="0"/>
          <w:sz w:val="24"/>
          <w:szCs w:val="24"/>
          <w:highlight w:val="none"/>
        </w:rPr>
      </w:pPr>
      <w:r>
        <w:rPr>
          <w:rFonts w:hint="eastAsia" w:ascii="宋体" w:hAnsi="宋体" w:cs="仿宋_GB2312"/>
          <w:color w:val="auto"/>
          <w:kern w:val="0"/>
          <w:sz w:val="24"/>
          <w:szCs w:val="24"/>
          <w:highlight w:val="none"/>
        </w:rPr>
        <w:t>7.中标单位要严格履行投标文件的承诺和与采购人签订的餐饮服务合同的约定，如发现餐饮服务达不到规定要求，中标单位服务水平下降，投诉多等现象或服务中发生重大失误的，采购人有权依照法律程序解除合同，并追究中标单位的违约责任。工作人员服务态度不热情、处理服务对象反映问题不及时、与服务对象发生争执、被服务对象投诉查证属实、接受监管考核态度不端正或资产管理不科学，对中标单位每次处以100-500元罚款。服务的满意度不得低于90％，否则对中标单位每次处以2000元罚款。</w:t>
      </w:r>
    </w:p>
    <w:p w14:paraId="773F9E53">
      <w:pPr>
        <w:spacing w:line="360" w:lineRule="auto"/>
        <w:ind w:firstLine="480" w:firstLineChars="200"/>
        <w:rPr>
          <w:rFonts w:ascii="宋体" w:hAnsi="宋体" w:cs="仿宋_GB2312"/>
          <w:color w:val="auto"/>
          <w:kern w:val="0"/>
          <w:sz w:val="24"/>
          <w:szCs w:val="24"/>
          <w:highlight w:val="none"/>
        </w:rPr>
      </w:pPr>
      <w:r>
        <w:rPr>
          <w:rFonts w:hint="eastAsia" w:ascii="宋体" w:hAnsi="宋体" w:cs="仿宋_GB2312"/>
          <w:color w:val="auto"/>
          <w:kern w:val="0"/>
          <w:sz w:val="24"/>
          <w:szCs w:val="24"/>
          <w:highlight w:val="none"/>
        </w:rPr>
        <w:t>8.中标单位应控制所属从业人员的留退率（年人员流动率10%～15%），未经采购人同意，不得自行更换管理人员（退休除外）。人员须定岗定位，空缺岗位人员须在一个月内补齐。一个月内未补齐的，对中标单位每人次处以2000元罚款；两个月内未补齐的，对中标单位每人次处以5000元罚款；三个月内未补齐的，对中标单位每人次处以10000元罚款。采购人在应急突发事件的情况下，有直接管理、设置和调动中标单位岗位的权力并有权要求中标单位及时更换不服从管理、违纪、不称职或其他原因不适合继续管理服务的人员。未按要求配备人员的，按考核相关规定执行。</w:t>
      </w:r>
    </w:p>
    <w:p w14:paraId="3F8F1EAF">
      <w:pPr>
        <w:spacing w:line="360" w:lineRule="auto"/>
        <w:ind w:firstLine="480" w:firstLineChars="200"/>
        <w:rPr>
          <w:rFonts w:ascii="宋体" w:hAnsi="宋体" w:cs="仿宋_GB2312"/>
          <w:color w:val="auto"/>
          <w:kern w:val="0"/>
          <w:sz w:val="24"/>
          <w:szCs w:val="24"/>
          <w:highlight w:val="none"/>
        </w:rPr>
      </w:pPr>
      <w:r>
        <w:rPr>
          <w:rFonts w:hint="eastAsia" w:ascii="宋体" w:hAnsi="宋体" w:cs="仿宋_GB2312"/>
          <w:color w:val="auto"/>
          <w:kern w:val="0"/>
          <w:sz w:val="24"/>
          <w:szCs w:val="24"/>
          <w:highlight w:val="none"/>
        </w:rPr>
        <w:t>9.中标单位应按月对餐饮服务人员进行考核，以确保服务质量。规章制度和考核机制不完备，对中标单位每次处以100-500元罚款。采购人定期或不定期对中标单位管理服务人员进行满意度调查和业务水平测试，并作为考核参考。若有违反职业道德、工作职责或其他违法违纪行为的，采购人将对中标单位严格考核，并与服务外包支付费用挂勾。如招标单位接到关于餐饮方面投诉，中标单位必须立即进行整改，如造成重大影响或经济损失的，采购人有权依照法律程序解除合同，并追究中标单位的违约责任。</w:t>
      </w:r>
    </w:p>
    <w:p w14:paraId="0D4A97F9">
      <w:pPr>
        <w:spacing w:line="360" w:lineRule="auto"/>
        <w:ind w:firstLine="480" w:firstLineChars="200"/>
        <w:rPr>
          <w:rFonts w:ascii="宋体" w:hAnsi="宋体" w:cs="仿宋_GB2312"/>
          <w:color w:val="auto"/>
          <w:kern w:val="0"/>
          <w:sz w:val="24"/>
          <w:szCs w:val="24"/>
          <w:highlight w:val="none"/>
        </w:rPr>
      </w:pPr>
      <w:r>
        <w:rPr>
          <w:rFonts w:hint="eastAsia" w:ascii="宋体" w:hAnsi="宋体" w:cs="仿宋_GB2312"/>
          <w:color w:val="auto"/>
          <w:kern w:val="0"/>
          <w:sz w:val="24"/>
          <w:szCs w:val="24"/>
          <w:highlight w:val="none"/>
        </w:rPr>
        <w:t>10.严格执行《食品安全法》的各项规定，所有现场配备人员必须持健康证上岗，每年不少于1次健康体检，健康证过期，对中标单位每人次处以100-500元罚款。严格执行清洁消毒规定，严禁出售变质、变味的饭菜。</w:t>
      </w:r>
    </w:p>
    <w:p w14:paraId="132997FC">
      <w:pPr>
        <w:spacing w:line="360" w:lineRule="auto"/>
        <w:ind w:firstLine="480" w:firstLineChars="200"/>
        <w:rPr>
          <w:rFonts w:ascii="宋体" w:hAnsi="宋体" w:cs="仿宋_GB2312"/>
          <w:color w:val="auto"/>
          <w:kern w:val="0"/>
          <w:sz w:val="24"/>
          <w:szCs w:val="24"/>
          <w:highlight w:val="none"/>
        </w:rPr>
      </w:pPr>
      <w:r>
        <w:rPr>
          <w:rFonts w:hint="eastAsia" w:ascii="宋体" w:hAnsi="宋体" w:cs="仿宋_GB2312"/>
          <w:color w:val="auto"/>
          <w:kern w:val="0"/>
          <w:sz w:val="24"/>
          <w:szCs w:val="24"/>
          <w:highlight w:val="none"/>
        </w:rPr>
        <w:t>11.所有员工进入岗位前必须穿戴统一工作服，使用一次性卫生手套、口罩，所有人员在工作时间内必须穿防滑鞋。工作时不得会客、吸烟、吃食品、大声喧哗和聊天。工作人员未按规定统一着装、未在指定场所吸烟或未按要求落实个人卫生，对中标单位每人次处以100-500元罚款。所有人员不得自带任何食物进出工作区域，无关人员不得进入工作区域。</w:t>
      </w:r>
    </w:p>
    <w:p w14:paraId="4545DC69">
      <w:pPr>
        <w:spacing w:line="360" w:lineRule="auto"/>
        <w:ind w:firstLine="480" w:firstLineChars="200"/>
        <w:rPr>
          <w:rFonts w:ascii="宋体" w:hAnsi="宋体" w:cs="仿宋_GB2312"/>
          <w:color w:val="auto"/>
          <w:kern w:val="0"/>
          <w:sz w:val="24"/>
          <w:szCs w:val="24"/>
          <w:highlight w:val="none"/>
        </w:rPr>
      </w:pPr>
      <w:r>
        <w:rPr>
          <w:rFonts w:hint="eastAsia" w:ascii="宋体" w:hAnsi="宋体" w:cs="仿宋_GB2312"/>
          <w:color w:val="auto"/>
          <w:kern w:val="0"/>
          <w:sz w:val="24"/>
          <w:szCs w:val="24"/>
          <w:highlight w:val="none"/>
        </w:rPr>
        <w:t>12.严格遵守采购人的用餐时间，保证一日两餐按时正点开餐，在开餐前15分钟确保所有饭菜品全部摆放到位，开餐前5分钟所有服务人员站立到指定岗位等待开餐。未按要求做好餐前准备工作，对中标单位每次处以100-500元罚款。</w:t>
      </w:r>
    </w:p>
    <w:p w14:paraId="4F8D13E7">
      <w:pPr>
        <w:spacing w:line="360" w:lineRule="auto"/>
        <w:ind w:firstLine="480" w:firstLineChars="200"/>
        <w:rPr>
          <w:rFonts w:ascii="宋体" w:hAnsi="宋体" w:cs="仿宋_GB2312"/>
          <w:color w:val="auto"/>
          <w:kern w:val="0"/>
          <w:sz w:val="24"/>
          <w:szCs w:val="24"/>
          <w:highlight w:val="none"/>
        </w:rPr>
      </w:pPr>
      <w:r>
        <w:rPr>
          <w:rFonts w:hint="eastAsia" w:ascii="宋体" w:hAnsi="宋体" w:cs="仿宋_GB2312"/>
          <w:color w:val="auto"/>
          <w:kern w:val="0"/>
          <w:sz w:val="24"/>
          <w:szCs w:val="24"/>
          <w:highlight w:val="none"/>
        </w:rPr>
        <w:t>13.用餐期间厨房保证食品菜肴不断档，且温度符合要求，就餐人员离开后及时擦拭干净餐桌以备第二餐次人员使用，用餐时段结束后彻底清洁用餐区域，余留食品按规定处理。菜肴提供不及时、每断档超过3分钟，对中标单位每次处以100-500元罚款。</w:t>
      </w:r>
    </w:p>
    <w:p w14:paraId="4B5BFBE9">
      <w:pPr>
        <w:spacing w:line="360" w:lineRule="auto"/>
        <w:ind w:firstLine="480" w:firstLineChars="200"/>
        <w:rPr>
          <w:rFonts w:ascii="宋体" w:hAnsi="宋体" w:cs="仿宋_GB2312"/>
          <w:color w:val="auto"/>
          <w:kern w:val="0"/>
          <w:sz w:val="24"/>
          <w:szCs w:val="24"/>
          <w:highlight w:val="none"/>
        </w:rPr>
      </w:pPr>
      <w:r>
        <w:rPr>
          <w:rFonts w:hint="eastAsia" w:ascii="宋体" w:hAnsi="宋体" w:cs="仿宋_GB2312"/>
          <w:color w:val="auto"/>
          <w:kern w:val="0"/>
          <w:sz w:val="24"/>
          <w:szCs w:val="24"/>
          <w:highlight w:val="none"/>
        </w:rPr>
        <w:t>14.日常保洁工作，要求地面清洁，下水道通畅，无积水，工作场所整洁，无积灰，墙壁无霉斑，各种餐具用品做到卫生、洁净、消毒；餐室（厨房）无蝇、无虫，排油烟设施罩清洁不滴油。卫生清洁不及时、有死角或餐厅桌椅摆放、物品放置不整齐，对中标单位每次处以100-500元罚款。</w:t>
      </w:r>
    </w:p>
    <w:p w14:paraId="05FCF61D">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15.配合采购人不定期邀请第三方对中标单位的餐具、菜肴进行检测。出现食品检测问题未造成严重影响的，采购人对中标单位每次处以10000元罚款；出现食品检测问题造成一定后果和影响的，采购人对中标单位每次处以30000元罚款，并约谈外包公司；出现食品检测问题造成严重后果和影响的，视情解除合同</w:t>
      </w:r>
      <w:r>
        <w:rPr>
          <w:rFonts w:hint="eastAsia" w:ascii="宋体" w:hAnsi="宋体"/>
          <w:bCs/>
          <w:color w:val="auto"/>
          <w:sz w:val="24"/>
          <w:szCs w:val="24"/>
          <w:highlight w:val="none"/>
        </w:rPr>
        <w:t>并追究中标单位的违约责任。</w:t>
      </w:r>
    </w:p>
    <w:p w14:paraId="424F4C77">
      <w:pPr>
        <w:spacing w:line="360" w:lineRule="auto"/>
        <w:ind w:firstLine="480" w:firstLineChars="200"/>
        <w:rPr>
          <w:rFonts w:ascii="宋体" w:hAnsi="宋体" w:cs="仿宋_GB2312"/>
          <w:color w:val="auto"/>
          <w:kern w:val="0"/>
          <w:sz w:val="24"/>
          <w:szCs w:val="24"/>
          <w:highlight w:val="none"/>
        </w:rPr>
      </w:pPr>
      <w:r>
        <w:rPr>
          <w:rFonts w:hint="eastAsia" w:ascii="宋体" w:hAnsi="宋体" w:cs="仿宋_GB2312"/>
          <w:color w:val="auto"/>
          <w:kern w:val="0"/>
          <w:sz w:val="24"/>
          <w:szCs w:val="24"/>
          <w:highlight w:val="none"/>
        </w:rPr>
        <w:t>16.中标单位对采购人采购的食品原材料按食品验收程序规范操作，并严格落实食材验收制度。对符合要求的原材料，中标单位签收，对不符合要求的原材料，中标单位可拒收，并向采购人出具书面说明。</w:t>
      </w:r>
    </w:p>
    <w:p w14:paraId="1883A4EC">
      <w:pPr>
        <w:spacing w:line="360" w:lineRule="auto"/>
        <w:ind w:firstLine="480" w:firstLineChars="200"/>
        <w:rPr>
          <w:rFonts w:ascii="宋体" w:hAnsi="宋体" w:cs="仿宋_GB2312"/>
          <w:color w:val="auto"/>
          <w:kern w:val="0"/>
          <w:sz w:val="24"/>
          <w:szCs w:val="24"/>
          <w:highlight w:val="none"/>
        </w:rPr>
      </w:pPr>
      <w:r>
        <w:rPr>
          <w:rFonts w:hint="eastAsia" w:ascii="宋体" w:hAnsi="宋体" w:cs="仿宋_GB2312"/>
          <w:color w:val="auto"/>
          <w:kern w:val="0"/>
          <w:sz w:val="24"/>
          <w:szCs w:val="24"/>
          <w:highlight w:val="none"/>
        </w:rPr>
        <w:t>17.中标单位未经采购人职能部门同意，不得在厨房内进行食品外加工，一经发现将作违约处理，对中标单位每次处以100-1000元罚款。</w:t>
      </w:r>
    </w:p>
    <w:p w14:paraId="1FD274C4">
      <w:pPr>
        <w:spacing w:line="360" w:lineRule="auto"/>
        <w:ind w:firstLine="480" w:firstLineChars="200"/>
        <w:rPr>
          <w:rFonts w:ascii="宋体" w:hAnsi="宋体" w:cs="仿宋_GB2312"/>
          <w:color w:val="auto"/>
          <w:kern w:val="0"/>
          <w:sz w:val="24"/>
          <w:szCs w:val="24"/>
          <w:highlight w:val="none"/>
        </w:rPr>
      </w:pPr>
      <w:r>
        <w:rPr>
          <w:rFonts w:hint="eastAsia" w:ascii="宋体" w:hAnsi="宋体" w:cs="仿宋_GB2312"/>
          <w:color w:val="auto"/>
          <w:kern w:val="0"/>
          <w:sz w:val="24"/>
          <w:szCs w:val="24"/>
          <w:highlight w:val="none"/>
        </w:rPr>
        <w:t>18.中标单位必须健全餐厅逐日消耗制度、食品留样制度、索证登记制度，并积极协助配合采购人搞好成本核算和膳食管理。餐厅逐日消耗制度、食品留样制度、索证登记制度落实不到位的，对中标单位每次处以100-10000元罚款。</w:t>
      </w:r>
    </w:p>
    <w:p w14:paraId="09F8945F">
      <w:pPr>
        <w:spacing w:line="360" w:lineRule="auto"/>
        <w:ind w:firstLine="480" w:firstLineChars="200"/>
        <w:rPr>
          <w:rFonts w:ascii="宋体" w:hAnsi="宋体" w:cs="仿宋_GB2312"/>
          <w:color w:val="auto"/>
          <w:kern w:val="0"/>
          <w:sz w:val="24"/>
          <w:szCs w:val="24"/>
          <w:highlight w:val="none"/>
        </w:rPr>
      </w:pPr>
      <w:r>
        <w:rPr>
          <w:rFonts w:hint="eastAsia" w:ascii="宋体" w:hAnsi="宋体" w:cs="仿宋_GB2312"/>
          <w:color w:val="auto"/>
          <w:kern w:val="0"/>
          <w:sz w:val="24"/>
          <w:szCs w:val="24"/>
          <w:highlight w:val="none"/>
        </w:rPr>
        <w:t>19.在服务保障过程中，因中标单位管理、工艺流程不到位，引起病源性传播或食物中毒，—切责任由中标单位负责，并承担相应的法律和经济责任。</w:t>
      </w:r>
    </w:p>
    <w:p w14:paraId="541FD10D">
      <w:pPr>
        <w:spacing w:line="360" w:lineRule="auto"/>
        <w:ind w:firstLine="480" w:firstLineChars="200"/>
        <w:rPr>
          <w:rFonts w:ascii="宋体" w:hAnsi="宋体" w:cs="仿宋_GB2312"/>
          <w:color w:val="auto"/>
          <w:kern w:val="0"/>
          <w:sz w:val="24"/>
          <w:szCs w:val="24"/>
          <w:highlight w:val="none"/>
        </w:rPr>
      </w:pPr>
      <w:r>
        <w:rPr>
          <w:rFonts w:hint="eastAsia" w:ascii="宋体" w:hAnsi="宋体" w:cs="仿宋_GB2312"/>
          <w:color w:val="auto"/>
          <w:kern w:val="0"/>
          <w:sz w:val="24"/>
          <w:szCs w:val="24"/>
          <w:highlight w:val="none"/>
        </w:rPr>
        <w:t>20.定期组织服务问卷调查，及时收集情况反馈采购人，及时抓好整改。</w:t>
      </w:r>
    </w:p>
    <w:p w14:paraId="1794202F">
      <w:pPr>
        <w:spacing w:line="360" w:lineRule="auto"/>
        <w:ind w:firstLine="480" w:firstLineChars="200"/>
        <w:rPr>
          <w:rFonts w:ascii="宋体" w:hAnsi="宋体" w:cs="仿宋_GB2312"/>
          <w:color w:val="auto"/>
          <w:kern w:val="0"/>
          <w:sz w:val="24"/>
          <w:szCs w:val="24"/>
          <w:highlight w:val="none"/>
        </w:rPr>
      </w:pPr>
      <w:r>
        <w:rPr>
          <w:rFonts w:hint="eastAsia" w:ascii="宋体" w:hAnsi="宋体" w:cs="仿宋_GB2312"/>
          <w:color w:val="auto"/>
          <w:kern w:val="0"/>
          <w:sz w:val="24"/>
          <w:szCs w:val="24"/>
          <w:highlight w:val="none"/>
        </w:rPr>
        <w:t>21.厉行节约反对浪费。根据用餐实际情况，调整大锅小炒，重视做好边角料加工制作及根系制作小菜工作，定期推出新品。</w:t>
      </w:r>
    </w:p>
    <w:p w14:paraId="144CAE15">
      <w:pPr>
        <w:spacing w:line="360" w:lineRule="auto"/>
        <w:ind w:firstLine="480" w:firstLineChars="200"/>
        <w:rPr>
          <w:rFonts w:ascii="宋体" w:hAnsi="宋体" w:cs="仿宋_GB2312"/>
          <w:color w:val="auto"/>
          <w:kern w:val="0"/>
          <w:sz w:val="24"/>
          <w:szCs w:val="24"/>
          <w:highlight w:val="none"/>
        </w:rPr>
      </w:pPr>
      <w:r>
        <w:rPr>
          <w:rFonts w:hint="eastAsia" w:ascii="宋体" w:hAnsi="宋体" w:cs="仿宋_GB2312"/>
          <w:color w:val="auto"/>
          <w:kern w:val="0"/>
          <w:sz w:val="24"/>
          <w:szCs w:val="24"/>
          <w:highlight w:val="none"/>
        </w:rPr>
        <w:t>22.中标单位要教育所属员工要以“餐厅”为家，爱护餐具厨杂及物品，尤其是不能有监守自盗及其它违纪犯法行为发生，否则，采购人依法纪追究其责任。发现监守自盗，造成财物损失的，按市场价10倍罚款并责令中标单位解除其合同。</w:t>
      </w:r>
    </w:p>
    <w:p w14:paraId="3AEAFF13">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（五）人员素质要求</w:t>
      </w:r>
    </w:p>
    <w:p w14:paraId="5931CDB5">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1.项目经理（</w:t>
      </w:r>
      <w:r>
        <w:rPr>
          <w:rFonts w:hint="eastAsia" w:ascii="宋体" w:hAnsi="宋体" w:cs="仿宋_GB2312"/>
          <w:color w:val="auto"/>
          <w:sz w:val="24"/>
          <w:szCs w:val="24"/>
          <w:highlight w:val="none"/>
        </w:rPr>
        <w:t>最低人员</w:t>
      </w:r>
      <w:r>
        <w:rPr>
          <w:rFonts w:hint="eastAsia" w:ascii="宋体" w:hAnsi="宋体" w:cs="仿宋_GB2312"/>
          <w:bCs/>
          <w:color w:val="auto"/>
          <w:sz w:val="24"/>
          <w:szCs w:val="24"/>
          <w:highlight w:val="none"/>
        </w:rPr>
        <w:t>配置1人）</w:t>
      </w:r>
    </w:p>
    <w:p w14:paraId="0AD916A9">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相貌端正，身体健康。5年以上团队管理经验优先，标准普通话。较强的责任感和团队协作精神，人际沟通能力强，能承受工作压力和服从意识。具有制作现场管理的各类报表、数据分析和总结报告的能力，有良好的计算机操作水平。热爱餐饮行业，能吃苦耐劳，听从指挥。具有有效期内健康证。</w:t>
      </w:r>
    </w:p>
    <w:p w14:paraId="471D8A28">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2.厨师长（</w:t>
      </w:r>
      <w:r>
        <w:rPr>
          <w:rFonts w:hint="eastAsia" w:ascii="宋体" w:hAnsi="宋体" w:cs="仿宋_GB2312"/>
          <w:color w:val="auto"/>
          <w:sz w:val="24"/>
          <w:szCs w:val="24"/>
          <w:highlight w:val="none"/>
        </w:rPr>
        <w:t>最低人员</w:t>
      </w:r>
      <w:r>
        <w:rPr>
          <w:rFonts w:hint="eastAsia" w:ascii="宋体" w:hAnsi="宋体" w:cs="仿宋_GB2312"/>
          <w:bCs/>
          <w:color w:val="auto"/>
          <w:sz w:val="24"/>
          <w:szCs w:val="24"/>
          <w:highlight w:val="none"/>
        </w:rPr>
        <w:t>配置1人）</w:t>
      </w:r>
    </w:p>
    <w:p w14:paraId="4D4784DB">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男性，50周岁(含50周岁)以内，</w:t>
      </w:r>
      <w:r>
        <w:rPr>
          <w:rFonts w:hint="eastAsia" w:ascii="宋体" w:hAnsi="宋体"/>
          <w:color w:val="auto"/>
          <w:sz w:val="24"/>
          <w:szCs w:val="24"/>
          <w:highlight w:val="none"/>
        </w:rPr>
        <w:t>相貌端正，身体健康。</w:t>
      </w:r>
      <w:r>
        <w:rPr>
          <w:rFonts w:hint="eastAsia" w:ascii="宋体" w:hAnsi="宋体" w:cs="仿宋_GB2312"/>
          <w:bCs/>
          <w:color w:val="auto"/>
          <w:sz w:val="24"/>
          <w:szCs w:val="24"/>
          <w:highlight w:val="none"/>
        </w:rPr>
        <w:t>具有行政主管部门颁发的中式烹调师二级（含）及以上证书，熟悉3个（含）以上菜系，有3年（含）以上厨师长工作经验，熟悉食堂管理，能够熟练使用计算机，具有有效期内健康证。</w:t>
      </w:r>
    </w:p>
    <w:p w14:paraId="5E6CB2B1">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3.煤炉厨师（</w:t>
      </w:r>
      <w:r>
        <w:rPr>
          <w:rFonts w:hint="eastAsia" w:ascii="宋体" w:hAnsi="宋体" w:cs="仿宋_GB2312"/>
          <w:color w:val="auto"/>
          <w:sz w:val="24"/>
          <w:szCs w:val="24"/>
          <w:highlight w:val="none"/>
        </w:rPr>
        <w:t>最低人员</w:t>
      </w:r>
      <w:r>
        <w:rPr>
          <w:rFonts w:hint="eastAsia" w:ascii="宋体" w:hAnsi="宋体" w:cs="仿宋_GB2312"/>
          <w:bCs/>
          <w:color w:val="auto"/>
          <w:sz w:val="24"/>
          <w:szCs w:val="24"/>
          <w:highlight w:val="none"/>
        </w:rPr>
        <w:t>配置4人）</w:t>
      </w:r>
    </w:p>
    <w:p w14:paraId="6EC3676E">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男性，45周岁(含45周岁)以内，具有行政主管部门颁发的中式烹调师资格证书，有2年（含）以上餐饮工作经验，能够独立烹制各类菜品，具有有效期内健康证。</w:t>
      </w:r>
    </w:p>
    <w:p w14:paraId="53AFE74D">
      <w:pPr>
        <w:spacing w:line="360" w:lineRule="auto"/>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4.点心厨师（最低人员配置2人）</w:t>
      </w:r>
    </w:p>
    <w:p w14:paraId="7084B12D">
      <w:pPr>
        <w:spacing w:line="440" w:lineRule="exact"/>
        <w:ind w:firstLine="480" w:firstLineChars="200"/>
        <w:rPr>
          <w:rFonts w:ascii="宋体" w:hAnsi="宋体"/>
          <w:color w:val="auto"/>
          <w:sz w:val="24"/>
          <w:szCs w:val="24"/>
          <w:highlight w:val="none"/>
        </w:rPr>
      </w:pPr>
      <w:r>
        <w:rPr>
          <w:rFonts w:hint="eastAsia" w:ascii="宋体" w:hAnsi="宋体" w:cs="仿宋_GB2312"/>
          <w:color w:val="auto"/>
          <w:sz w:val="24"/>
          <w:szCs w:val="24"/>
          <w:highlight w:val="none"/>
        </w:rPr>
        <w:t>年龄在45周岁(含45周岁)以内，有5年（含）以上餐饮从业经验，能够独立制作各式中式点心，具有有效期内健康证。</w:t>
      </w:r>
      <w:r>
        <w:rPr>
          <w:rFonts w:hint="eastAsia" w:ascii="宋体" w:hAnsi="宋体"/>
          <w:color w:val="auto"/>
          <w:sz w:val="24"/>
          <w:szCs w:val="24"/>
          <w:highlight w:val="none"/>
        </w:rPr>
        <w:t>具有食品卫生学、营养学等相关知识。</w:t>
      </w:r>
    </w:p>
    <w:p w14:paraId="07E0186F">
      <w:pPr>
        <w:spacing w:line="360" w:lineRule="auto"/>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5.配菜、服务员（最低人员配置为10人）</w:t>
      </w:r>
    </w:p>
    <w:p w14:paraId="5641E459">
      <w:pPr>
        <w:spacing w:line="360" w:lineRule="auto"/>
        <w:ind w:firstLine="480" w:firstLineChars="200"/>
        <w:rPr>
          <w:rFonts w:ascii="宋体" w:hAnsi="宋体" w:cs="仿宋_GB2312"/>
          <w:color w:val="auto"/>
          <w:sz w:val="24"/>
          <w:szCs w:val="24"/>
          <w:highlight w:val="none"/>
        </w:rPr>
      </w:pPr>
      <w:r>
        <w:rPr>
          <w:rFonts w:hint="eastAsia" w:ascii="宋体" w:hAnsi="宋体" w:cs="仿宋_GB2312"/>
          <w:bCs/>
          <w:color w:val="auto"/>
          <w:sz w:val="24"/>
          <w:szCs w:val="24"/>
          <w:highlight w:val="none"/>
        </w:rPr>
        <w:t>50周岁(含50周岁)以内，有2年（含）以上工作经验</w:t>
      </w:r>
      <w:r>
        <w:rPr>
          <w:rFonts w:hint="eastAsia" w:ascii="宋体" w:hAnsi="宋体" w:cs="仿宋_GB2312"/>
          <w:color w:val="auto"/>
          <w:sz w:val="24"/>
          <w:szCs w:val="24"/>
          <w:highlight w:val="none"/>
        </w:rPr>
        <w:t>，具有有效期内健康证。</w:t>
      </w:r>
    </w:p>
    <w:p w14:paraId="290D3029">
      <w:pPr>
        <w:spacing w:line="360" w:lineRule="auto"/>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6.餐饮采购员（最低人员配置为1人）</w:t>
      </w:r>
    </w:p>
    <w:p w14:paraId="70FD39C1">
      <w:pPr>
        <w:spacing w:line="360" w:lineRule="auto"/>
        <w:ind w:firstLine="480" w:firstLineChars="200"/>
        <w:rPr>
          <w:rFonts w:ascii="宋体" w:hAnsi="宋体" w:cs="仿宋_GB2312"/>
          <w:color w:val="auto"/>
          <w:sz w:val="24"/>
          <w:szCs w:val="24"/>
          <w:highlight w:val="none"/>
        </w:rPr>
      </w:pPr>
      <w:r>
        <w:rPr>
          <w:rFonts w:hint="eastAsia" w:ascii="宋体" w:hAnsi="宋体" w:cs="仿宋_GB2312"/>
          <w:color w:val="auto"/>
          <w:sz w:val="24"/>
          <w:szCs w:val="24"/>
          <w:highlight w:val="none"/>
        </w:rPr>
        <w:t>45周岁(含45周岁)以内，有2年（含）以上餐饮采购和财务记账经验，能熟练操作电脑，遵纪守法，无前科劣迹，善于沟通，主动性及执行力较好，具有有效期内健康证。</w:t>
      </w:r>
    </w:p>
    <w:p w14:paraId="21C44A21">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（六）各岗位职责</w:t>
      </w:r>
    </w:p>
    <w:p w14:paraId="3A67AA37">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1.厨房操作间人员岗位职责：</w:t>
      </w:r>
    </w:p>
    <w:p w14:paraId="72668C8A">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（1）负责原料保管及验货工作。</w:t>
      </w:r>
    </w:p>
    <w:p w14:paraId="2A8F5D3C">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（2）严格按照制定的菜谱质量要求切配，把好质量卫生关，腐烂变质的原料不加工，荤、素、成品与半成品原料分开切配，避免交叉污染，杜绝食物中毒。使用机械及切、剁、砍、绞时应注意安全操作。</w:t>
      </w:r>
    </w:p>
    <w:p w14:paraId="67478509">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（3）摘、洗菜要严格按照程序操作，确保蔬菜洁净卫生。 </w:t>
      </w:r>
    </w:p>
    <w:p w14:paraId="4F05671E">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（4）及时按规格烹制不同风味的菜肴，做到出品质量稳定，风味纯正，前后有序；</w:t>
      </w:r>
    </w:p>
    <w:p w14:paraId="210A715F">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（5）合理调制菜肴的调味汁，确保口味统一，备齐各类餐具，准备及时的做好开餐前的准备工作； </w:t>
      </w:r>
    </w:p>
    <w:p w14:paraId="1C800204">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（6）节约能源，合理使用调料，降低成本，减少浪费，保持个人工作岗位及包干区的卫生整洁，保养炉灶，及时清理烟罩系统，发现问题及时报请维修；</w:t>
      </w:r>
    </w:p>
    <w:p w14:paraId="2B9FFC25">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（7）在保证肉菜等煮熟的前提下，尽量做到“色、香、味”俱全；</w:t>
      </w:r>
    </w:p>
    <w:p w14:paraId="4280D1E7">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（8）加工食品必须生、熟分开，熟食品必须盛放在专用容器内，保证不出售变质肉菜，严防食物中毒。</w:t>
      </w:r>
    </w:p>
    <w:p w14:paraId="09CBB4B0">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2.点心间人员岗位职责</w:t>
      </w:r>
    </w:p>
    <w:p w14:paraId="20433358">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（1）制订点心制作规格标准，报厨师长审批后执行，不断推出新品种，提高点心的制作质量，出品。</w:t>
      </w:r>
    </w:p>
    <w:p w14:paraId="439C5854">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（2）安排原料的审领，加工掌握客情，做好开餐前后的准备和收尾工作。</w:t>
      </w:r>
    </w:p>
    <w:p w14:paraId="4D5E4431">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（3）按标准和不同风味点心的规格质量要求，加工制作各类点心，做到及时出品有序质量精细可靠，有效的控制成本核算。</w:t>
      </w:r>
    </w:p>
    <w:p w14:paraId="5C34CBEA">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（4）本岗位卫生和包区卫生，做好点心间收尾工作。</w:t>
      </w:r>
    </w:p>
    <w:p w14:paraId="13EB3FF0">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3.洗碗间岗位职责</w:t>
      </w:r>
    </w:p>
    <w:p w14:paraId="7B6D3336">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（1）负责餐厅各类餐具清洗和消毒储存工作； </w:t>
      </w:r>
    </w:p>
    <w:p w14:paraId="46CE23E8">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（2）随时做好洗碗间清洁卫生工作，保证洗碗间物品摆放标准，卫生干净整洁；</w:t>
      </w:r>
    </w:p>
    <w:p w14:paraId="0DE34810">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 xml:space="preserve">（3）严格按照市场监督管理局卫生要求及餐具清洁要求操作，保证餐具清洗及时、干净，确保安全使用。 </w:t>
      </w:r>
    </w:p>
    <w:p w14:paraId="7E7950BA">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（4）做好个人卫生，符合员工仪容仪表规定。</w:t>
      </w:r>
    </w:p>
    <w:p w14:paraId="5E21E06C">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（5）在工作时要注意节约用水、用电和合理使用清洁用品、用具，杜绝浪费现象；</w:t>
      </w:r>
    </w:p>
    <w:p w14:paraId="65D67593">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（6）清洗餐具时要轻拿轻放，爱护公司物品，降低餐具损耗；</w:t>
      </w:r>
    </w:p>
    <w:p w14:paraId="6A3AFADE">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4.餐厅工作人员岗位职责</w:t>
      </w:r>
    </w:p>
    <w:p w14:paraId="68C665D3">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（1）按工作程序和标准做好开餐前的各项准备工作，备用调料要充足，摆放整洁美观；</w:t>
      </w:r>
    </w:p>
    <w:p w14:paraId="33250D84">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（2）按照标准要求做好每日各项清洁工作；</w:t>
      </w:r>
    </w:p>
    <w:p w14:paraId="4317B40E">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（3）开餐时随时巡视检查各处清洁状况并及时整理干净，随时检查调料使用情况及时补货；</w:t>
      </w:r>
    </w:p>
    <w:p w14:paraId="315C6DAE">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（4）及时帮助用餐人员解决就餐过程中的各类问题，必要时将用餐人员的问题和投诉及时反馈给项目经理，寻求解决办法；</w:t>
      </w:r>
    </w:p>
    <w:p w14:paraId="06066258">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（5）当班结束认真做好收尾工作。</w:t>
      </w:r>
    </w:p>
    <w:p w14:paraId="61D4CA7D">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5.餐线人员岗位职责</w:t>
      </w:r>
    </w:p>
    <w:p w14:paraId="5ADB2FFC">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（1）负责售饭、售菜工作，出售饭菜只可以刷卡或收取餐券，严禁收取现金；</w:t>
      </w:r>
    </w:p>
    <w:p w14:paraId="3BE6EF9C">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（2）对待用餐人员要做到积极主动、态度和蔼、文明服务，但必须严格按照菜单价格，严禁出现人情饭菜；</w:t>
      </w:r>
    </w:p>
    <w:p w14:paraId="652842D4">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（3）负责餐线售卖台区域餐具整齐摆放及卫生工作清洁工作。</w:t>
      </w:r>
    </w:p>
    <w:p w14:paraId="52306719">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（七）对中标方的监管考核要求及考评标准</w:t>
      </w:r>
    </w:p>
    <w:p w14:paraId="0B70B83B">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1.考核主体为采购方考核小组；</w:t>
      </w:r>
    </w:p>
    <w:p w14:paraId="6C8A7D8C">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2.中标单位保证员工政审合格率达到100%。中标单位在招录员工时，必须对员工进行政审，保证员工政治思想素质过硬；</w:t>
      </w:r>
    </w:p>
    <w:p w14:paraId="7D26BAB8">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3.中标单位要保证员工到岗率达到100%。中标单位必须按照招标文件规定人数，安排人员到岗。缺岗1人，每日扣除相应服务费，直到人员配齐到岗为止。</w:t>
      </w:r>
    </w:p>
    <w:p w14:paraId="0B6A08C9">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4.中标单位对新上岗的员工必须抓好员工日常培训，包括职业道德、礼仪礼貌、工作纪律、岗位职责等，并有培训记录；</w:t>
      </w:r>
    </w:p>
    <w:p w14:paraId="38EB8C0A">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5.中标单位必须有强有力的管理团队、有健全的规章制度和考核机制；</w:t>
      </w:r>
    </w:p>
    <w:p w14:paraId="56120107">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6.中标单位要保持队伍相对稳定，每月员工流动率不高于10%。造成临时缺岗的，中标单位应在一个月内补充到位；</w:t>
      </w:r>
    </w:p>
    <w:p w14:paraId="77FC8C15">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7.中标单位要严格内部管理。如有下列情形，采购方有权按法律程序终止其合同，并追究相关责任；如涉嫌违法，则由司法机关追究其法律责任：</w:t>
      </w:r>
    </w:p>
    <w:p w14:paraId="573BEC4C">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（1）因管理不善造成员工负重伤和死亡的，或发生重大食品安全事故的；</w:t>
      </w:r>
    </w:p>
    <w:p w14:paraId="5627B92E">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（2）因服务人员被投诉举报，造成恶劣影响并经查证属实的；</w:t>
      </w:r>
    </w:p>
    <w:p w14:paraId="51B81C56">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（3）因服务人员工作中违反职业道德，发生监守自盗的；</w:t>
      </w:r>
    </w:p>
    <w:p w14:paraId="65936FF8">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（4）受到相关部门通报批评的、被媒体曝光查实的。</w:t>
      </w:r>
    </w:p>
    <w:p w14:paraId="1F7AFC62">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8.中标单位要加强厨房设施设备的使用管理。要爱惜采购方提供的设施设备，如发生人为损坏，则由中标单位按价赔偿。</w:t>
      </w:r>
    </w:p>
    <w:p w14:paraId="33288382">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9.对考核中发现逃避考核评估或存在严重违法违纪等行为的、限期整改且整改后不合条件的，将被严肃查处。</w:t>
      </w:r>
    </w:p>
    <w:p w14:paraId="3C714319">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（八）其他要求</w:t>
      </w:r>
    </w:p>
    <w:p w14:paraId="23ED504D">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1.投标单位具有健全的组织架构、交纳社保的员工人数能满足本次服务的需求；</w:t>
      </w:r>
    </w:p>
    <w:p w14:paraId="7EDFE94A">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2.具有良好的社会信誉，管理有序，业绩优良，在以往餐饮服务承包中无任何经营违规，无任何食品卫生安全事故和消防安全、劳务纠纷等不良记录；</w:t>
      </w:r>
    </w:p>
    <w:p w14:paraId="7C5D95BD">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3.有一支精干、高效、专业、敬业、健康有品牌的餐饮服务团队，有能力为用餐人员提供安全、优质、高效、满意的餐饮服务。中标单位内设机构必须齐全，有相应的人事、财务、销售、业务管理体系,注重企业文化，中标单位主要管理人员需有三年以上餐饮行业管理经验；</w:t>
      </w:r>
    </w:p>
    <w:p w14:paraId="198D58E9">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4.具有科学、合理、规范、可操作的、完善的管理体系和管理制度；</w:t>
      </w:r>
    </w:p>
    <w:p w14:paraId="105B275D">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5.投标单位各级管理人员要有高度的绿色发展理念，紧跟时代发展步伐。</w:t>
      </w:r>
    </w:p>
    <w:p w14:paraId="42C10033">
      <w:pPr>
        <w:pBdr>
          <w:top w:val="none" w:color="000000" w:sz="0" w:space="0"/>
          <w:left w:val="none" w:color="000000" w:sz="0" w:space="0"/>
          <w:bottom w:val="none" w:color="000000" w:sz="0" w:space="0"/>
          <w:right w:val="none" w:color="000000" w:sz="0" w:space="0"/>
        </w:pBdr>
        <w:jc w:val="center"/>
        <w:rPr>
          <w:color w:val="auto"/>
          <w:highlight w:val="none"/>
        </w:rPr>
      </w:pPr>
      <w:r>
        <w:rPr>
          <w:rFonts w:ascii="仿宋" w:hAnsi="仿宋" w:eastAsia="仿宋" w:cs="仿宋"/>
          <w:b/>
          <w:color w:val="auto"/>
          <w:sz w:val="28"/>
          <w:highlight w:val="none"/>
        </w:rPr>
        <w:t>无锡市机关管理局外包单位月度考核表</w:t>
      </w:r>
    </w:p>
    <w:tbl>
      <w:tblPr>
        <w:tblStyle w:val="3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8"/>
        <w:gridCol w:w="691"/>
        <w:gridCol w:w="527"/>
        <w:gridCol w:w="549"/>
        <w:gridCol w:w="736"/>
        <w:gridCol w:w="5586"/>
      </w:tblGrid>
      <w:tr w14:paraId="6D278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488" w:type="dxa"/>
            <w:tcBorders>
              <w:tl2br w:val="nil"/>
              <w:tr2bl w:val="nil"/>
            </w:tcBorders>
            <w:noWrap/>
            <w:tcMar>
              <w:top w:w="0" w:type="dxa"/>
              <w:left w:w="108" w:type="dxa"/>
              <w:bottom w:w="0" w:type="dxa"/>
              <w:right w:w="108" w:type="dxa"/>
            </w:tcMar>
            <w:vAlign w:val="center"/>
          </w:tcPr>
          <w:p w14:paraId="7C3F2D14">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18"/>
                <w:highlight w:val="none"/>
              </w:rPr>
              <w:t>序号</w:t>
            </w:r>
          </w:p>
        </w:tc>
        <w:tc>
          <w:tcPr>
            <w:tcW w:w="691" w:type="dxa"/>
            <w:tcBorders>
              <w:tl2br w:val="nil"/>
              <w:tr2bl w:val="nil"/>
            </w:tcBorders>
            <w:noWrap/>
            <w:tcMar>
              <w:top w:w="0" w:type="dxa"/>
              <w:left w:w="108" w:type="dxa"/>
              <w:bottom w:w="0" w:type="dxa"/>
              <w:right w:w="108" w:type="dxa"/>
            </w:tcMar>
            <w:vAlign w:val="center"/>
          </w:tcPr>
          <w:p w14:paraId="36337F93">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18"/>
                <w:highlight w:val="none"/>
              </w:rPr>
              <w:t>考核内容</w:t>
            </w:r>
          </w:p>
        </w:tc>
        <w:tc>
          <w:tcPr>
            <w:tcW w:w="527" w:type="dxa"/>
            <w:tcBorders>
              <w:tl2br w:val="nil"/>
              <w:tr2bl w:val="nil"/>
            </w:tcBorders>
            <w:noWrap/>
            <w:tcMar>
              <w:top w:w="0" w:type="dxa"/>
              <w:left w:w="108" w:type="dxa"/>
              <w:bottom w:w="0" w:type="dxa"/>
              <w:right w:w="108" w:type="dxa"/>
            </w:tcMar>
            <w:vAlign w:val="center"/>
          </w:tcPr>
          <w:p w14:paraId="0DC27074">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18"/>
                <w:highlight w:val="none"/>
              </w:rPr>
              <w:t>总分值</w:t>
            </w:r>
          </w:p>
        </w:tc>
        <w:tc>
          <w:tcPr>
            <w:tcW w:w="549" w:type="dxa"/>
            <w:tcBorders>
              <w:tl2br w:val="nil"/>
              <w:tr2bl w:val="nil"/>
            </w:tcBorders>
            <w:noWrap/>
            <w:tcMar>
              <w:top w:w="0" w:type="dxa"/>
              <w:left w:w="108" w:type="dxa"/>
              <w:bottom w:w="0" w:type="dxa"/>
              <w:right w:w="108" w:type="dxa"/>
            </w:tcMar>
            <w:vAlign w:val="center"/>
          </w:tcPr>
          <w:p w14:paraId="64A563ED">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18"/>
                <w:highlight w:val="none"/>
              </w:rPr>
              <w:t>扣分值</w:t>
            </w:r>
          </w:p>
        </w:tc>
        <w:tc>
          <w:tcPr>
            <w:tcW w:w="736" w:type="dxa"/>
            <w:tcBorders>
              <w:tl2br w:val="nil"/>
              <w:tr2bl w:val="nil"/>
            </w:tcBorders>
            <w:noWrap/>
            <w:tcMar>
              <w:top w:w="0" w:type="dxa"/>
              <w:left w:w="108" w:type="dxa"/>
              <w:bottom w:w="0" w:type="dxa"/>
              <w:right w:w="108" w:type="dxa"/>
            </w:tcMar>
            <w:vAlign w:val="center"/>
          </w:tcPr>
          <w:p w14:paraId="28A0E42C">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18"/>
                <w:highlight w:val="none"/>
              </w:rPr>
              <w:t>扣分事由</w:t>
            </w:r>
          </w:p>
        </w:tc>
        <w:tc>
          <w:tcPr>
            <w:tcW w:w="5586" w:type="dxa"/>
            <w:tcBorders>
              <w:tl2br w:val="nil"/>
              <w:tr2bl w:val="nil"/>
            </w:tcBorders>
            <w:noWrap/>
            <w:tcMar>
              <w:top w:w="0" w:type="dxa"/>
              <w:left w:w="108" w:type="dxa"/>
              <w:bottom w:w="0" w:type="dxa"/>
              <w:right w:w="108" w:type="dxa"/>
            </w:tcMar>
            <w:vAlign w:val="center"/>
          </w:tcPr>
          <w:p w14:paraId="4331078B">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18"/>
                <w:highlight w:val="none"/>
              </w:rPr>
              <w:t>考核细则</w:t>
            </w:r>
          </w:p>
        </w:tc>
      </w:tr>
      <w:tr w14:paraId="53A05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88" w:type="dxa"/>
            <w:tcBorders>
              <w:tl2br w:val="nil"/>
              <w:tr2bl w:val="nil"/>
            </w:tcBorders>
            <w:noWrap/>
            <w:tcMar>
              <w:top w:w="0" w:type="dxa"/>
              <w:left w:w="108" w:type="dxa"/>
              <w:bottom w:w="0" w:type="dxa"/>
              <w:right w:w="108" w:type="dxa"/>
            </w:tcMar>
            <w:vAlign w:val="center"/>
          </w:tcPr>
          <w:p w14:paraId="7A9E8239">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18"/>
                <w:highlight w:val="none"/>
              </w:rPr>
              <w:t>1</w:t>
            </w:r>
          </w:p>
        </w:tc>
        <w:tc>
          <w:tcPr>
            <w:tcW w:w="691" w:type="dxa"/>
            <w:tcBorders>
              <w:tl2br w:val="nil"/>
              <w:tr2bl w:val="nil"/>
            </w:tcBorders>
            <w:noWrap/>
            <w:tcMar>
              <w:top w:w="0" w:type="dxa"/>
              <w:left w:w="108" w:type="dxa"/>
              <w:bottom w:w="0" w:type="dxa"/>
              <w:right w:w="108" w:type="dxa"/>
            </w:tcMar>
            <w:vAlign w:val="center"/>
          </w:tcPr>
          <w:p w14:paraId="26202727">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18"/>
                <w:highlight w:val="none"/>
              </w:rPr>
              <w:t>组织管理</w:t>
            </w:r>
          </w:p>
        </w:tc>
        <w:tc>
          <w:tcPr>
            <w:tcW w:w="527" w:type="dxa"/>
            <w:tcBorders>
              <w:tl2br w:val="nil"/>
              <w:tr2bl w:val="nil"/>
            </w:tcBorders>
            <w:noWrap/>
            <w:tcMar>
              <w:top w:w="0" w:type="dxa"/>
              <w:left w:w="108" w:type="dxa"/>
              <w:bottom w:w="0" w:type="dxa"/>
              <w:right w:w="108" w:type="dxa"/>
            </w:tcMar>
            <w:vAlign w:val="center"/>
          </w:tcPr>
          <w:p w14:paraId="30E6F77F">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18"/>
                <w:highlight w:val="none"/>
              </w:rPr>
              <w:t>15分</w:t>
            </w:r>
          </w:p>
        </w:tc>
        <w:tc>
          <w:tcPr>
            <w:tcW w:w="549" w:type="dxa"/>
            <w:tcBorders>
              <w:tl2br w:val="nil"/>
              <w:tr2bl w:val="nil"/>
            </w:tcBorders>
            <w:noWrap/>
            <w:tcMar>
              <w:top w:w="0" w:type="dxa"/>
              <w:left w:w="108" w:type="dxa"/>
              <w:bottom w:w="0" w:type="dxa"/>
              <w:right w:w="108" w:type="dxa"/>
            </w:tcMar>
            <w:vAlign w:val="center"/>
          </w:tcPr>
          <w:p w14:paraId="75F01507">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18"/>
                <w:highlight w:val="none"/>
              </w:rPr>
              <w:t> </w:t>
            </w:r>
          </w:p>
        </w:tc>
        <w:tc>
          <w:tcPr>
            <w:tcW w:w="736" w:type="dxa"/>
            <w:tcBorders>
              <w:tl2br w:val="nil"/>
              <w:tr2bl w:val="nil"/>
            </w:tcBorders>
            <w:noWrap/>
            <w:tcMar>
              <w:top w:w="0" w:type="dxa"/>
              <w:left w:w="108" w:type="dxa"/>
              <w:bottom w:w="0" w:type="dxa"/>
              <w:right w:w="108" w:type="dxa"/>
            </w:tcMar>
            <w:vAlign w:val="center"/>
          </w:tcPr>
          <w:p w14:paraId="5EFFAE6E">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18"/>
                <w:highlight w:val="none"/>
              </w:rPr>
              <w:t> </w:t>
            </w:r>
          </w:p>
        </w:tc>
        <w:tc>
          <w:tcPr>
            <w:tcW w:w="5586" w:type="dxa"/>
            <w:tcBorders>
              <w:tl2br w:val="nil"/>
              <w:tr2bl w:val="nil"/>
            </w:tcBorders>
            <w:noWrap/>
            <w:tcMar>
              <w:top w:w="0" w:type="dxa"/>
              <w:left w:w="108" w:type="dxa"/>
              <w:bottom w:w="0" w:type="dxa"/>
              <w:right w:w="108" w:type="dxa"/>
            </w:tcMar>
            <w:vAlign w:val="center"/>
          </w:tcPr>
          <w:p w14:paraId="0224CBED">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18"/>
                <w:highlight w:val="none"/>
              </w:rPr>
              <w:t>1.岗位人员按合同要求配齐配全，组织架构、服务方案科学合理；</w:t>
            </w:r>
          </w:p>
          <w:p w14:paraId="3CA09B9D">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18"/>
                <w:highlight w:val="none"/>
              </w:rPr>
              <w:t>2.人才梯队建设合理，人员素质、技术等级、相关职称满足岗位需求，员工持证上岗；</w:t>
            </w:r>
          </w:p>
          <w:p w14:paraId="599C0B8F">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18"/>
                <w:highlight w:val="none"/>
              </w:rPr>
              <w:t>3.岗位分工及工作职责清晰，内部管理严格规范；</w:t>
            </w:r>
          </w:p>
          <w:p w14:paraId="35CC4913">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18"/>
                <w:highlight w:val="none"/>
              </w:rPr>
              <w:t>4.员工培训计划、月度工作计划及措施详细，档案资料、工作台账完备，各类登（统）表填写规范齐全；</w:t>
            </w:r>
          </w:p>
          <w:p w14:paraId="5BE1C374">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18"/>
                <w:highlight w:val="none"/>
              </w:rPr>
              <w:t>5.落实员工考勤制度；</w:t>
            </w:r>
          </w:p>
          <w:p w14:paraId="1DF4DF30">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18"/>
                <w:highlight w:val="none"/>
              </w:rPr>
              <w:t>6.员工上班期间统一工装挂牌上岗，仪容仪表端正，服务态度热情周到，服务礼貌使用文明用语；</w:t>
            </w:r>
          </w:p>
          <w:p w14:paraId="0874A74E">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18"/>
                <w:highlight w:val="none"/>
              </w:rPr>
              <w:t>7.办公室、值班室、设备房、工具间按规范要求设置。</w:t>
            </w:r>
          </w:p>
        </w:tc>
      </w:tr>
      <w:tr w14:paraId="4A922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2" w:hRule="atLeast"/>
        </w:trPr>
        <w:tc>
          <w:tcPr>
            <w:tcW w:w="488" w:type="dxa"/>
            <w:tcBorders>
              <w:tl2br w:val="nil"/>
              <w:tr2bl w:val="nil"/>
            </w:tcBorders>
            <w:noWrap/>
            <w:tcMar>
              <w:top w:w="0" w:type="dxa"/>
              <w:left w:w="108" w:type="dxa"/>
              <w:bottom w:w="0" w:type="dxa"/>
              <w:right w:w="108" w:type="dxa"/>
            </w:tcMar>
            <w:vAlign w:val="center"/>
          </w:tcPr>
          <w:p w14:paraId="5738E927">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18"/>
                <w:highlight w:val="none"/>
              </w:rPr>
              <w:t>2</w:t>
            </w:r>
          </w:p>
        </w:tc>
        <w:tc>
          <w:tcPr>
            <w:tcW w:w="691" w:type="dxa"/>
            <w:tcBorders>
              <w:tl2br w:val="nil"/>
              <w:tr2bl w:val="nil"/>
            </w:tcBorders>
            <w:noWrap/>
            <w:tcMar>
              <w:top w:w="0" w:type="dxa"/>
              <w:left w:w="108" w:type="dxa"/>
              <w:bottom w:w="0" w:type="dxa"/>
              <w:right w:w="108" w:type="dxa"/>
            </w:tcMar>
            <w:vAlign w:val="center"/>
          </w:tcPr>
          <w:p w14:paraId="0B000A19">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18"/>
                <w:highlight w:val="none"/>
              </w:rPr>
              <w:t>制度建设</w:t>
            </w:r>
          </w:p>
        </w:tc>
        <w:tc>
          <w:tcPr>
            <w:tcW w:w="527" w:type="dxa"/>
            <w:tcBorders>
              <w:tl2br w:val="nil"/>
              <w:tr2bl w:val="nil"/>
            </w:tcBorders>
            <w:noWrap/>
            <w:tcMar>
              <w:top w:w="0" w:type="dxa"/>
              <w:left w:w="108" w:type="dxa"/>
              <w:bottom w:w="0" w:type="dxa"/>
              <w:right w:w="108" w:type="dxa"/>
            </w:tcMar>
            <w:vAlign w:val="center"/>
          </w:tcPr>
          <w:p w14:paraId="1172D105">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18"/>
                <w:highlight w:val="none"/>
              </w:rPr>
              <w:t>10分</w:t>
            </w:r>
          </w:p>
        </w:tc>
        <w:tc>
          <w:tcPr>
            <w:tcW w:w="549" w:type="dxa"/>
            <w:tcBorders>
              <w:tl2br w:val="nil"/>
              <w:tr2bl w:val="nil"/>
            </w:tcBorders>
            <w:noWrap/>
            <w:tcMar>
              <w:top w:w="0" w:type="dxa"/>
              <w:left w:w="108" w:type="dxa"/>
              <w:bottom w:w="0" w:type="dxa"/>
              <w:right w:w="108" w:type="dxa"/>
            </w:tcMar>
            <w:vAlign w:val="center"/>
          </w:tcPr>
          <w:p w14:paraId="5D0A52F8">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18"/>
                <w:highlight w:val="none"/>
              </w:rPr>
              <w:t> </w:t>
            </w:r>
          </w:p>
        </w:tc>
        <w:tc>
          <w:tcPr>
            <w:tcW w:w="736" w:type="dxa"/>
            <w:tcBorders>
              <w:tl2br w:val="nil"/>
              <w:tr2bl w:val="nil"/>
            </w:tcBorders>
            <w:noWrap/>
            <w:tcMar>
              <w:top w:w="0" w:type="dxa"/>
              <w:left w:w="108" w:type="dxa"/>
              <w:bottom w:w="0" w:type="dxa"/>
              <w:right w:w="108" w:type="dxa"/>
            </w:tcMar>
            <w:vAlign w:val="center"/>
          </w:tcPr>
          <w:p w14:paraId="0A775B2E">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18"/>
                <w:highlight w:val="none"/>
              </w:rPr>
              <w:t> </w:t>
            </w:r>
          </w:p>
        </w:tc>
        <w:tc>
          <w:tcPr>
            <w:tcW w:w="5586" w:type="dxa"/>
            <w:tcBorders>
              <w:tl2br w:val="nil"/>
              <w:tr2bl w:val="nil"/>
            </w:tcBorders>
            <w:noWrap/>
            <w:tcMar>
              <w:top w:w="0" w:type="dxa"/>
              <w:left w:w="108" w:type="dxa"/>
              <w:bottom w:w="0" w:type="dxa"/>
              <w:right w:w="108" w:type="dxa"/>
            </w:tcMar>
            <w:vAlign w:val="center"/>
          </w:tcPr>
          <w:p w14:paraId="1279A69C">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18"/>
                <w:highlight w:val="none"/>
              </w:rPr>
              <w:t>1.管理制度、岗位工作职责、工作流程、服务承诺、保密守则等按规定上墙公示；</w:t>
            </w:r>
          </w:p>
          <w:p w14:paraId="13D7EDCA">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18"/>
                <w:highlight w:val="none"/>
              </w:rPr>
              <w:t>2.建立突发事件处置工作预案、极端天气应急预案；</w:t>
            </w:r>
          </w:p>
          <w:p w14:paraId="2C0EE5ED">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18"/>
                <w:highlight w:val="none"/>
              </w:rPr>
              <w:t>3.执行晨会、每周工作例会、每月质量分析会、安全日报制度；</w:t>
            </w:r>
          </w:p>
          <w:p w14:paraId="5F6A8566">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18"/>
                <w:highlight w:val="none"/>
              </w:rPr>
              <w:t>4.有效执行各类值班及请示报告制度；</w:t>
            </w:r>
          </w:p>
          <w:p w14:paraId="792932E2">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18"/>
                <w:highlight w:val="none"/>
              </w:rPr>
              <w:t>5.建立健全员工绩效考核奖惩机制。</w:t>
            </w:r>
          </w:p>
        </w:tc>
      </w:tr>
      <w:tr w14:paraId="31EBC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5" w:hRule="atLeast"/>
        </w:trPr>
        <w:tc>
          <w:tcPr>
            <w:tcW w:w="488" w:type="dxa"/>
            <w:tcBorders>
              <w:tl2br w:val="nil"/>
              <w:tr2bl w:val="nil"/>
            </w:tcBorders>
            <w:noWrap/>
            <w:tcMar>
              <w:top w:w="0" w:type="dxa"/>
              <w:left w:w="108" w:type="dxa"/>
              <w:bottom w:w="0" w:type="dxa"/>
              <w:right w:w="108" w:type="dxa"/>
            </w:tcMar>
            <w:vAlign w:val="center"/>
          </w:tcPr>
          <w:p w14:paraId="1011BAA4">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18"/>
                <w:highlight w:val="none"/>
              </w:rPr>
              <w:t>3</w:t>
            </w:r>
          </w:p>
        </w:tc>
        <w:tc>
          <w:tcPr>
            <w:tcW w:w="691" w:type="dxa"/>
            <w:tcBorders>
              <w:tl2br w:val="nil"/>
              <w:tr2bl w:val="nil"/>
            </w:tcBorders>
            <w:noWrap/>
            <w:tcMar>
              <w:top w:w="0" w:type="dxa"/>
              <w:left w:w="108" w:type="dxa"/>
              <w:bottom w:w="0" w:type="dxa"/>
              <w:right w:w="108" w:type="dxa"/>
            </w:tcMar>
            <w:vAlign w:val="center"/>
          </w:tcPr>
          <w:p w14:paraId="51921B36">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18"/>
                <w:highlight w:val="none"/>
              </w:rPr>
              <w:t>服务质量</w:t>
            </w:r>
          </w:p>
        </w:tc>
        <w:tc>
          <w:tcPr>
            <w:tcW w:w="527" w:type="dxa"/>
            <w:tcBorders>
              <w:tl2br w:val="nil"/>
              <w:tr2bl w:val="nil"/>
            </w:tcBorders>
            <w:noWrap/>
            <w:tcMar>
              <w:top w:w="0" w:type="dxa"/>
              <w:left w:w="108" w:type="dxa"/>
              <w:bottom w:w="0" w:type="dxa"/>
              <w:right w:w="108" w:type="dxa"/>
            </w:tcMar>
            <w:vAlign w:val="center"/>
          </w:tcPr>
          <w:p w14:paraId="137D8844">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18"/>
                <w:highlight w:val="none"/>
              </w:rPr>
              <w:t>50分</w:t>
            </w:r>
          </w:p>
        </w:tc>
        <w:tc>
          <w:tcPr>
            <w:tcW w:w="549" w:type="dxa"/>
            <w:tcBorders>
              <w:tl2br w:val="nil"/>
              <w:tr2bl w:val="nil"/>
            </w:tcBorders>
            <w:noWrap/>
            <w:tcMar>
              <w:top w:w="0" w:type="dxa"/>
              <w:left w:w="108" w:type="dxa"/>
              <w:bottom w:w="0" w:type="dxa"/>
              <w:right w:w="108" w:type="dxa"/>
            </w:tcMar>
            <w:vAlign w:val="center"/>
          </w:tcPr>
          <w:p w14:paraId="1CFAD481">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2"/>
                <w:highlight w:val="none"/>
              </w:rPr>
              <w:t> </w:t>
            </w:r>
          </w:p>
        </w:tc>
        <w:tc>
          <w:tcPr>
            <w:tcW w:w="736" w:type="dxa"/>
            <w:tcBorders>
              <w:tl2br w:val="nil"/>
              <w:tr2bl w:val="nil"/>
            </w:tcBorders>
            <w:noWrap/>
            <w:tcMar>
              <w:top w:w="0" w:type="dxa"/>
              <w:left w:w="108" w:type="dxa"/>
              <w:bottom w:w="0" w:type="dxa"/>
              <w:right w:w="108" w:type="dxa"/>
            </w:tcMar>
            <w:vAlign w:val="center"/>
          </w:tcPr>
          <w:p w14:paraId="66CC5563">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2"/>
                <w:highlight w:val="none"/>
              </w:rPr>
              <w:t> </w:t>
            </w:r>
          </w:p>
        </w:tc>
        <w:tc>
          <w:tcPr>
            <w:tcW w:w="5586" w:type="dxa"/>
            <w:tcBorders>
              <w:tl2br w:val="nil"/>
              <w:tr2bl w:val="nil"/>
            </w:tcBorders>
            <w:noWrap/>
            <w:tcMar>
              <w:top w:w="0" w:type="dxa"/>
              <w:left w:w="108" w:type="dxa"/>
              <w:bottom w:w="0" w:type="dxa"/>
              <w:right w:w="108" w:type="dxa"/>
            </w:tcMar>
            <w:vAlign w:val="center"/>
          </w:tcPr>
          <w:p w14:paraId="0C332A69">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18"/>
                <w:highlight w:val="none"/>
              </w:rPr>
              <w:t>1.贯彻执行《物业管理条例》《机关后勤服务质量标准和要求》等行业标准；</w:t>
            </w:r>
          </w:p>
          <w:p w14:paraId="75B38F75">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18"/>
                <w:highlight w:val="none"/>
              </w:rPr>
              <w:t>2. 履行《项目服务外包合同》及服务承诺所规定的服务范围、工作标准及要求（根据合同内容针对性补充考核条款）；</w:t>
            </w:r>
          </w:p>
          <w:p w14:paraId="691DB6DD">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18"/>
                <w:highlight w:val="none"/>
              </w:rPr>
              <w:t>3.执行上级指令坚决及时；</w:t>
            </w:r>
          </w:p>
          <w:p w14:paraId="1B3481E8">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18"/>
                <w:highlight w:val="none"/>
              </w:rPr>
              <w:t>4.工作流程畅顺规范，服务规范无偏差，服务跟踪回访对各类投诉意见处理、服务响应时间及时；</w:t>
            </w:r>
          </w:p>
          <w:p w14:paraId="34277DA5">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18"/>
                <w:highlight w:val="none"/>
              </w:rPr>
              <w:t>5.设备房、操作间作业所用的设备器械及工具专人保管，摆放规范统一；</w:t>
            </w:r>
          </w:p>
          <w:p w14:paraId="3E9C5FBB">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18"/>
                <w:highlight w:val="none"/>
              </w:rPr>
              <w:t>6.定期组织员工业务技能、节能教育培训；</w:t>
            </w:r>
          </w:p>
          <w:p w14:paraId="69EF0FA0">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18"/>
                <w:highlight w:val="none"/>
              </w:rPr>
              <w:t>7.作业场所有无“长明灯”“长流水”“无人空调”等现象。</w:t>
            </w:r>
          </w:p>
        </w:tc>
      </w:tr>
      <w:tr w14:paraId="73135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7" w:hRule="atLeast"/>
        </w:trPr>
        <w:tc>
          <w:tcPr>
            <w:tcW w:w="488" w:type="dxa"/>
            <w:tcBorders>
              <w:tl2br w:val="nil"/>
              <w:tr2bl w:val="nil"/>
            </w:tcBorders>
            <w:noWrap/>
            <w:tcMar>
              <w:top w:w="0" w:type="dxa"/>
              <w:left w:w="108" w:type="dxa"/>
              <w:bottom w:w="0" w:type="dxa"/>
              <w:right w:w="108" w:type="dxa"/>
            </w:tcMar>
            <w:vAlign w:val="center"/>
          </w:tcPr>
          <w:p w14:paraId="7B0A9CE2">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18"/>
                <w:highlight w:val="none"/>
              </w:rPr>
              <w:t> </w:t>
            </w:r>
          </w:p>
          <w:p w14:paraId="78532A26">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18"/>
                <w:highlight w:val="none"/>
              </w:rPr>
              <w:t> </w:t>
            </w:r>
          </w:p>
          <w:p w14:paraId="715E9437">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18"/>
                <w:highlight w:val="none"/>
              </w:rPr>
              <w:t>4</w:t>
            </w:r>
          </w:p>
          <w:p w14:paraId="38F878F0">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18"/>
                <w:highlight w:val="none"/>
              </w:rPr>
              <w:t> </w:t>
            </w:r>
          </w:p>
          <w:p w14:paraId="0E9C6D77">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18"/>
                <w:highlight w:val="none"/>
              </w:rPr>
              <w:t> </w:t>
            </w:r>
          </w:p>
        </w:tc>
        <w:tc>
          <w:tcPr>
            <w:tcW w:w="691" w:type="dxa"/>
            <w:tcBorders>
              <w:tl2br w:val="nil"/>
              <w:tr2bl w:val="nil"/>
            </w:tcBorders>
            <w:noWrap/>
            <w:tcMar>
              <w:top w:w="0" w:type="dxa"/>
              <w:left w:w="108" w:type="dxa"/>
              <w:bottom w:w="0" w:type="dxa"/>
              <w:right w:w="108" w:type="dxa"/>
            </w:tcMar>
            <w:vAlign w:val="center"/>
          </w:tcPr>
          <w:p w14:paraId="5402678E">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18"/>
                <w:highlight w:val="none"/>
              </w:rPr>
              <w:t>安全管理</w:t>
            </w:r>
          </w:p>
        </w:tc>
        <w:tc>
          <w:tcPr>
            <w:tcW w:w="527" w:type="dxa"/>
            <w:tcBorders>
              <w:tl2br w:val="nil"/>
              <w:tr2bl w:val="nil"/>
            </w:tcBorders>
            <w:noWrap/>
            <w:tcMar>
              <w:top w:w="0" w:type="dxa"/>
              <w:left w:w="108" w:type="dxa"/>
              <w:bottom w:w="0" w:type="dxa"/>
              <w:right w:w="108" w:type="dxa"/>
            </w:tcMar>
            <w:vAlign w:val="center"/>
          </w:tcPr>
          <w:p w14:paraId="72A15343">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18"/>
                <w:highlight w:val="none"/>
              </w:rPr>
              <w:t>20分</w:t>
            </w:r>
          </w:p>
        </w:tc>
        <w:tc>
          <w:tcPr>
            <w:tcW w:w="549" w:type="dxa"/>
            <w:tcBorders>
              <w:tl2br w:val="nil"/>
              <w:tr2bl w:val="nil"/>
            </w:tcBorders>
            <w:noWrap/>
            <w:tcMar>
              <w:top w:w="0" w:type="dxa"/>
              <w:left w:w="108" w:type="dxa"/>
              <w:bottom w:w="0" w:type="dxa"/>
              <w:right w:w="108" w:type="dxa"/>
            </w:tcMar>
            <w:vAlign w:val="center"/>
          </w:tcPr>
          <w:p w14:paraId="31F010C8">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18"/>
                <w:highlight w:val="none"/>
              </w:rPr>
              <w:t> </w:t>
            </w:r>
          </w:p>
        </w:tc>
        <w:tc>
          <w:tcPr>
            <w:tcW w:w="736" w:type="dxa"/>
            <w:tcBorders>
              <w:tl2br w:val="nil"/>
              <w:tr2bl w:val="nil"/>
            </w:tcBorders>
            <w:noWrap/>
            <w:tcMar>
              <w:top w:w="0" w:type="dxa"/>
              <w:left w:w="108" w:type="dxa"/>
              <w:bottom w:w="0" w:type="dxa"/>
              <w:right w:w="108" w:type="dxa"/>
            </w:tcMar>
            <w:vAlign w:val="center"/>
          </w:tcPr>
          <w:p w14:paraId="198278D0">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18"/>
                <w:highlight w:val="none"/>
              </w:rPr>
              <w:t> </w:t>
            </w:r>
          </w:p>
        </w:tc>
        <w:tc>
          <w:tcPr>
            <w:tcW w:w="5586" w:type="dxa"/>
            <w:tcBorders>
              <w:tl2br w:val="nil"/>
              <w:tr2bl w:val="nil"/>
            </w:tcBorders>
            <w:noWrap/>
            <w:tcMar>
              <w:top w:w="0" w:type="dxa"/>
              <w:left w:w="108" w:type="dxa"/>
              <w:bottom w:w="0" w:type="dxa"/>
              <w:right w:w="108" w:type="dxa"/>
            </w:tcMar>
            <w:vAlign w:val="center"/>
          </w:tcPr>
          <w:p w14:paraId="4DAD7205">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18"/>
                <w:highlight w:val="none"/>
              </w:rPr>
              <w:t>1.项目建立安全管理组织架构，落实岗位安全责任制；</w:t>
            </w:r>
          </w:p>
          <w:p w14:paraId="3BA78BE9">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18"/>
                <w:highlight w:val="none"/>
              </w:rPr>
              <w:t>2.建立健全安全管理制度、突发事件应急处置工作预案；</w:t>
            </w:r>
          </w:p>
          <w:p w14:paraId="510AE3E7">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18"/>
                <w:highlight w:val="none"/>
              </w:rPr>
              <w:t>3.按计划组织安全教育培训及应急演练；</w:t>
            </w:r>
          </w:p>
          <w:p w14:paraId="4D0A0038">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18"/>
                <w:highlight w:val="none"/>
              </w:rPr>
              <w:t>4.施工作业落实有效安全防范措施，提醒、警示标识牌规范设置；</w:t>
            </w:r>
          </w:p>
          <w:p w14:paraId="1D577E2F">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18"/>
                <w:highlight w:val="none"/>
              </w:rPr>
              <w:t>5.建立安全巡检台账，安全隐患问题整改处置及时到位；</w:t>
            </w:r>
          </w:p>
          <w:p w14:paraId="62318847">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18"/>
                <w:highlight w:val="none"/>
              </w:rPr>
              <w:t>6.不得擅自使用非标设备用具、大功率电气设备，禁止电线私拉乱接。</w:t>
            </w:r>
          </w:p>
        </w:tc>
      </w:tr>
      <w:tr w14:paraId="79BCF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5" w:hRule="atLeast"/>
        </w:trPr>
        <w:tc>
          <w:tcPr>
            <w:tcW w:w="488" w:type="dxa"/>
            <w:tcBorders>
              <w:tl2br w:val="nil"/>
              <w:tr2bl w:val="nil"/>
            </w:tcBorders>
            <w:noWrap/>
            <w:tcMar>
              <w:top w:w="0" w:type="dxa"/>
              <w:left w:w="108" w:type="dxa"/>
              <w:bottom w:w="0" w:type="dxa"/>
              <w:right w:w="108" w:type="dxa"/>
            </w:tcMar>
            <w:vAlign w:val="center"/>
          </w:tcPr>
          <w:p w14:paraId="61DC33DF">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18"/>
                <w:highlight w:val="none"/>
              </w:rPr>
              <w:t>5</w:t>
            </w:r>
          </w:p>
        </w:tc>
        <w:tc>
          <w:tcPr>
            <w:tcW w:w="691" w:type="dxa"/>
            <w:tcBorders>
              <w:tl2br w:val="nil"/>
              <w:tr2bl w:val="nil"/>
            </w:tcBorders>
            <w:noWrap/>
            <w:tcMar>
              <w:top w:w="0" w:type="dxa"/>
              <w:left w:w="108" w:type="dxa"/>
              <w:bottom w:w="0" w:type="dxa"/>
              <w:right w:w="108" w:type="dxa"/>
            </w:tcMar>
            <w:vAlign w:val="center"/>
          </w:tcPr>
          <w:p w14:paraId="0CB79F6E">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18"/>
                <w:highlight w:val="none"/>
              </w:rPr>
              <w:t>廉洁自律</w:t>
            </w:r>
          </w:p>
        </w:tc>
        <w:tc>
          <w:tcPr>
            <w:tcW w:w="527" w:type="dxa"/>
            <w:tcBorders>
              <w:tl2br w:val="nil"/>
              <w:tr2bl w:val="nil"/>
            </w:tcBorders>
            <w:noWrap/>
            <w:tcMar>
              <w:top w:w="0" w:type="dxa"/>
              <w:left w:w="108" w:type="dxa"/>
              <w:bottom w:w="0" w:type="dxa"/>
              <w:right w:w="108" w:type="dxa"/>
            </w:tcMar>
            <w:vAlign w:val="center"/>
          </w:tcPr>
          <w:p w14:paraId="495F2464">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18"/>
                <w:highlight w:val="none"/>
              </w:rPr>
              <w:t>5分</w:t>
            </w:r>
          </w:p>
        </w:tc>
        <w:tc>
          <w:tcPr>
            <w:tcW w:w="549" w:type="dxa"/>
            <w:tcBorders>
              <w:tl2br w:val="nil"/>
              <w:tr2bl w:val="nil"/>
            </w:tcBorders>
            <w:noWrap/>
            <w:tcMar>
              <w:top w:w="0" w:type="dxa"/>
              <w:left w:w="108" w:type="dxa"/>
              <w:bottom w:w="0" w:type="dxa"/>
              <w:right w:w="108" w:type="dxa"/>
            </w:tcMar>
            <w:vAlign w:val="center"/>
          </w:tcPr>
          <w:p w14:paraId="6058658D">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2"/>
                <w:highlight w:val="none"/>
              </w:rPr>
              <w:t> </w:t>
            </w:r>
          </w:p>
        </w:tc>
        <w:tc>
          <w:tcPr>
            <w:tcW w:w="736" w:type="dxa"/>
            <w:tcBorders>
              <w:tl2br w:val="nil"/>
              <w:tr2bl w:val="nil"/>
            </w:tcBorders>
            <w:noWrap/>
            <w:tcMar>
              <w:top w:w="0" w:type="dxa"/>
              <w:left w:w="108" w:type="dxa"/>
              <w:bottom w:w="0" w:type="dxa"/>
              <w:right w:w="108" w:type="dxa"/>
            </w:tcMar>
            <w:vAlign w:val="center"/>
          </w:tcPr>
          <w:p w14:paraId="5075BB7B">
            <w:pPr>
              <w:pBdr>
                <w:top w:val="none" w:color="000000" w:sz="0" w:space="0"/>
                <w:left w:val="none" w:color="000000" w:sz="0" w:space="0"/>
                <w:bottom w:val="none" w:color="000000" w:sz="0" w:space="0"/>
                <w:right w:val="none" w:color="000000" w:sz="0" w:space="0"/>
              </w:pBdr>
              <w:spacing w:line="300" w:lineRule="atLeast"/>
              <w:rPr>
                <w:color w:val="auto"/>
                <w:highlight w:val="none"/>
              </w:rPr>
            </w:pPr>
            <w:r>
              <w:rPr>
                <w:rFonts w:ascii="宋体" w:hAnsi="宋体" w:cs="宋体"/>
                <w:color w:val="auto"/>
                <w:sz w:val="24"/>
                <w:highlight w:val="none"/>
              </w:rPr>
              <w:t> </w:t>
            </w:r>
          </w:p>
        </w:tc>
        <w:tc>
          <w:tcPr>
            <w:tcW w:w="5586" w:type="dxa"/>
            <w:tcBorders>
              <w:tl2br w:val="nil"/>
              <w:tr2bl w:val="nil"/>
            </w:tcBorders>
            <w:noWrap/>
            <w:tcMar>
              <w:top w:w="0" w:type="dxa"/>
              <w:left w:w="108" w:type="dxa"/>
              <w:bottom w:w="0" w:type="dxa"/>
              <w:right w:w="108" w:type="dxa"/>
            </w:tcMar>
            <w:vAlign w:val="center"/>
          </w:tcPr>
          <w:p w14:paraId="4CACAA1C">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18"/>
                <w:highlight w:val="none"/>
              </w:rPr>
              <w:t>1.遵守廉洁从业各项规定，不得向中心工作人员赠送礼金、有价证券、礼券、纪念品、烟酒等其他物品；</w:t>
            </w:r>
          </w:p>
          <w:p w14:paraId="3805D89F">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18"/>
                <w:highlight w:val="none"/>
              </w:rPr>
              <w:t>2.不得向</w:t>
            </w:r>
            <w:r>
              <w:rPr>
                <w:rFonts w:hint="eastAsia" w:ascii="宋体" w:hAnsi="宋体" w:cs="宋体"/>
                <w:color w:val="auto"/>
                <w:sz w:val="18"/>
                <w:highlight w:val="none"/>
              </w:rPr>
              <w:t>甲方</w:t>
            </w:r>
            <w:r>
              <w:rPr>
                <w:rFonts w:ascii="宋体" w:hAnsi="宋体" w:cs="宋体"/>
                <w:color w:val="auto"/>
                <w:sz w:val="18"/>
                <w:highlight w:val="none"/>
              </w:rPr>
              <w:t>工作人员支付业务回扣、佣金或其他好处；</w:t>
            </w:r>
          </w:p>
          <w:p w14:paraId="07188C19">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18"/>
                <w:highlight w:val="none"/>
              </w:rPr>
              <w:t>3.不得违规出现向大楼其他合作供应商或施工单位吃、拿、卡、要现象。</w:t>
            </w:r>
          </w:p>
        </w:tc>
      </w:tr>
    </w:tbl>
    <w:p w14:paraId="4504B4F3">
      <w:pPr>
        <w:pBdr>
          <w:top w:val="none" w:color="000000" w:sz="0" w:space="0"/>
          <w:left w:val="none" w:color="000000" w:sz="0" w:space="0"/>
          <w:bottom w:val="none" w:color="000000" w:sz="0" w:space="0"/>
          <w:right w:val="none" w:color="000000" w:sz="0" w:space="0"/>
        </w:pBdr>
        <w:shd w:val="clear" w:color="auto"/>
        <w:tabs>
          <w:tab w:val="left" w:pos="312"/>
        </w:tabs>
        <w:spacing w:line="85" w:lineRule="atLeast"/>
        <w:ind w:firstLine="482"/>
        <w:jc w:val="center"/>
        <w:rPr>
          <w:rFonts w:ascii="宋体" w:hAnsi="宋体" w:cs="宋体"/>
          <w:b/>
          <w:bCs/>
          <w:color w:val="auto"/>
          <w:sz w:val="24"/>
          <w:highlight w:val="none"/>
        </w:rPr>
      </w:pPr>
    </w:p>
    <w:p w14:paraId="62B95829">
      <w:pPr>
        <w:shd w:val="clear" w:color="auto"/>
        <w:spacing w:line="360" w:lineRule="auto"/>
        <w:ind w:firstLine="480"/>
        <w:rPr>
          <w:rFonts w:ascii="宋体" w:hAnsi="宋体"/>
          <w:b/>
          <w:color w:val="auto"/>
          <w:sz w:val="30"/>
          <w:szCs w:val="30"/>
          <w:highlight w:val="none"/>
        </w:rPr>
      </w:pPr>
      <w:r>
        <w:rPr>
          <w:rFonts w:hint="eastAsia" w:ascii="宋体" w:hAnsi="宋体"/>
          <w:b/>
          <w:color w:val="auto"/>
          <w:sz w:val="30"/>
          <w:szCs w:val="30"/>
          <w:highlight w:val="none"/>
        </w:rPr>
        <w:t>有关说明</w:t>
      </w:r>
    </w:p>
    <w:p w14:paraId="58280CED">
      <w:pPr>
        <w:numPr>
          <w:ilvl w:val="1"/>
          <w:numId w:val="3"/>
        </w:numPr>
        <w:shd w:val="clear" w:color="auto"/>
        <w:tabs>
          <w:tab w:val="left" w:pos="945"/>
        </w:tabs>
        <w:spacing w:line="360" w:lineRule="auto"/>
        <w:ind w:left="0" w:firstLine="480"/>
        <w:rPr>
          <w:rFonts w:ascii="宋体"/>
          <w:bCs/>
          <w:color w:val="auto"/>
          <w:sz w:val="24"/>
          <w:highlight w:val="none"/>
        </w:rPr>
      </w:pPr>
      <w:r>
        <w:rPr>
          <w:rFonts w:hint="eastAsia" w:ascii="宋体" w:hAnsi="宋体"/>
          <w:color w:val="auto"/>
          <w:sz w:val="24"/>
          <w:highlight w:val="none"/>
          <w:lang w:eastAsia="zh-CN"/>
        </w:rPr>
        <w:t>供应商</w:t>
      </w:r>
      <w:r>
        <w:rPr>
          <w:rFonts w:hint="eastAsia" w:ascii="宋体" w:hAnsi="宋体"/>
          <w:color w:val="auto"/>
          <w:sz w:val="24"/>
          <w:highlight w:val="none"/>
        </w:rPr>
        <w:t>报价时应充分考虑服务期内所有可能影响到报价的因素，包括最低工资标准及社保基数的政策性调整、一旦投标结束最终中标，总价包定，不予调整。</w:t>
      </w:r>
    </w:p>
    <w:p w14:paraId="274073BB">
      <w:pPr>
        <w:numPr>
          <w:ilvl w:val="1"/>
          <w:numId w:val="3"/>
        </w:numPr>
        <w:shd w:val="clear" w:color="auto"/>
        <w:tabs>
          <w:tab w:val="left" w:pos="525"/>
          <w:tab w:val="left" w:pos="945"/>
          <w:tab w:val="clear" w:pos="780"/>
        </w:tabs>
        <w:spacing w:line="360" w:lineRule="auto"/>
        <w:ind w:left="0" w:firstLine="480"/>
        <w:rPr>
          <w:rFonts w:ascii="宋体"/>
          <w:bCs/>
          <w:color w:val="auto"/>
          <w:sz w:val="24"/>
          <w:highlight w:val="none"/>
        </w:rPr>
      </w:pPr>
      <w:r>
        <w:rPr>
          <w:rFonts w:hint="eastAsia" w:ascii="宋体" w:hAnsi="宋体"/>
          <w:color w:val="auto"/>
          <w:sz w:val="24"/>
          <w:highlight w:val="none"/>
        </w:rPr>
        <w:t>员工工资、社保费用、公积金、税金、保险等法定费用为不可让利部分（不可竞争费用），须按规定计算并报出，投标总报价不可低于上述相关费用合计，否则作无效投标处理。</w:t>
      </w:r>
    </w:p>
    <w:p w14:paraId="5848CFE1">
      <w:pPr>
        <w:numPr>
          <w:ilvl w:val="1"/>
          <w:numId w:val="3"/>
        </w:numPr>
        <w:shd w:val="clear" w:color="auto"/>
        <w:tabs>
          <w:tab w:val="left" w:pos="525"/>
          <w:tab w:val="left" w:pos="945"/>
          <w:tab w:val="clear" w:pos="780"/>
        </w:tabs>
        <w:spacing w:line="360" w:lineRule="auto"/>
        <w:ind w:left="0" w:firstLine="480"/>
        <w:rPr>
          <w:rFonts w:ascii="宋体"/>
          <w:bCs/>
          <w:color w:val="auto"/>
          <w:sz w:val="24"/>
          <w:highlight w:val="none"/>
        </w:rPr>
      </w:pPr>
      <w:r>
        <w:rPr>
          <w:rFonts w:hint="eastAsia" w:ascii="宋体" w:hAnsi="宋体" w:cs="仿宋_GB2312"/>
          <w:color w:val="auto"/>
          <w:sz w:val="24"/>
          <w:highlight w:val="none"/>
        </w:rPr>
        <w:t>中标单位应按照相关规定，与所有聘用人员依法签订劳动合同。</w:t>
      </w:r>
    </w:p>
    <w:p w14:paraId="297115D1">
      <w:pPr>
        <w:numPr>
          <w:ilvl w:val="1"/>
          <w:numId w:val="3"/>
        </w:numPr>
        <w:shd w:val="clear" w:color="auto"/>
        <w:tabs>
          <w:tab w:val="left" w:pos="525"/>
          <w:tab w:val="left" w:pos="630"/>
          <w:tab w:val="left" w:pos="735"/>
          <w:tab w:val="left" w:pos="945"/>
          <w:tab w:val="clear" w:pos="780"/>
        </w:tabs>
        <w:spacing w:line="360" w:lineRule="auto"/>
        <w:ind w:left="0" w:firstLine="480"/>
        <w:rPr>
          <w:rFonts w:ascii="宋体" w:hAnsi="宋体"/>
          <w:color w:val="auto"/>
          <w:sz w:val="24"/>
          <w:highlight w:val="none"/>
        </w:rPr>
      </w:pPr>
      <w:r>
        <w:rPr>
          <w:rFonts w:hint="eastAsia" w:ascii="宋体" w:hAnsi="宋体"/>
          <w:color w:val="auto"/>
          <w:sz w:val="24"/>
          <w:highlight w:val="none"/>
        </w:rPr>
        <w:t>开标后，</w:t>
      </w:r>
      <w:r>
        <w:rPr>
          <w:rFonts w:hint="eastAsia" w:ascii="宋体" w:hAnsi="宋体"/>
          <w:color w:val="auto"/>
          <w:sz w:val="24"/>
          <w:highlight w:val="none"/>
          <w:lang w:eastAsia="zh-CN"/>
        </w:rPr>
        <w:t>供应商</w:t>
      </w:r>
      <w:r>
        <w:rPr>
          <w:rFonts w:hint="eastAsia" w:ascii="宋体" w:hAnsi="宋体"/>
          <w:color w:val="auto"/>
          <w:sz w:val="24"/>
          <w:highlight w:val="none"/>
        </w:rPr>
        <w:t>须自行准备设备（包括但不限于笔记本电脑、无线网络）登录“苏采云”系统，按招标文件规定时间解密后，在评标过程中保持在线，等待评标委员会的询标和评标结果，中途不得离开。如未按要求应答，由此所产生的损失及风险由</w:t>
      </w:r>
      <w:r>
        <w:rPr>
          <w:rFonts w:hint="eastAsia" w:ascii="宋体" w:hAnsi="宋体"/>
          <w:color w:val="auto"/>
          <w:sz w:val="24"/>
          <w:highlight w:val="none"/>
          <w:lang w:eastAsia="zh-CN"/>
        </w:rPr>
        <w:t>供应商</w:t>
      </w:r>
      <w:r>
        <w:rPr>
          <w:rFonts w:hint="eastAsia" w:ascii="宋体" w:hAnsi="宋体"/>
          <w:color w:val="auto"/>
          <w:sz w:val="24"/>
          <w:highlight w:val="none"/>
        </w:rPr>
        <w:t>自行承担。</w:t>
      </w:r>
    </w:p>
    <w:p w14:paraId="6E5437D8">
      <w:pPr>
        <w:shd w:val="clear" w:color="auto"/>
        <w:tabs>
          <w:tab w:val="left" w:pos="525"/>
          <w:tab w:val="left" w:pos="630"/>
          <w:tab w:val="left" w:pos="735"/>
          <w:tab w:val="left" w:pos="945"/>
        </w:tabs>
        <w:spacing w:line="360" w:lineRule="auto"/>
        <w:ind w:firstLine="480"/>
        <w:rPr>
          <w:rFonts w:ascii="宋体" w:hAnsi="宋体"/>
          <w:b/>
          <w:bCs/>
          <w:color w:val="auto"/>
          <w:sz w:val="30"/>
          <w:szCs w:val="30"/>
          <w:highlight w:val="none"/>
        </w:rPr>
      </w:pPr>
      <w:r>
        <w:rPr>
          <w:rFonts w:hint="eastAsia" w:ascii="宋体" w:hAnsi="宋体"/>
          <w:b/>
          <w:color w:val="auto"/>
          <w:sz w:val="30"/>
          <w:szCs w:val="30"/>
          <w:highlight w:val="none"/>
        </w:rPr>
        <w:t>政府采购政策（包括但不限于下列具体政策要求）</w:t>
      </w:r>
    </w:p>
    <w:p w14:paraId="66F8FF44">
      <w:pPr>
        <w:numPr>
          <w:ilvl w:val="1"/>
          <w:numId w:val="4"/>
        </w:numPr>
        <w:shd w:val="clear" w:color="auto"/>
        <w:tabs>
          <w:tab w:val="left" w:pos="525"/>
          <w:tab w:val="left" w:pos="945"/>
          <w:tab w:val="clear" w:pos="780"/>
        </w:tabs>
        <w:spacing w:line="360" w:lineRule="auto"/>
        <w:ind w:left="0" w:firstLine="525"/>
        <w:rPr>
          <w:rFonts w:ascii="宋体"/>
          <w:bCs/>
          <w:color w:val="auto"/>
          <w:sz w:val="24"/>
          <w:highlight w:val="none"/>
        </w:rPr>
      </w:pPr>
      <w:r>
        <w:rPr>
          <w:rFonts w:hint="eastAsia" w:ascii="宋体"/>
          <w:bCs/>
          <w:color w:val="auto"/>
          <w:sz w:val="24"/>
          <w:highlight w:val="none"/>
        </w:rPr>
        <w:t>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7178711F">
      <w:pPr>
        <w:numPr>
          <w:ilvl w:val="1"/>
          <w:numId w:val="4"/>
        </w:numPr>
        <w:shd w:val="clear" w:color="auto"/>
        <w:tabs>
          <w:tab w:val="left" w:pos="525"/>
          <w:tab w:val="left" w:pos="945"/>
          <w:tab w:val="clear" w:pos="780"/>
        </w:tabs>
        <w:spacing w:line="360" w:lineRule="auto"/>
        <w:ind w:left="0" w:firstLine="525"/>
        <w:rPr>
          <w:rFonts w:ascii="宋体"/>
          <w:bCs/>
          <w:color w:val="auto"/>
          <w:sz w:val="24"/>
          <w:highlight w:val="none"/>
        </w:rPr>
      </w:pPr>
      <w:r>
        <w:rPr>
          <w:rFonts w:hint="eastAsia"/>
          <w:color w:val="auto"/>
          <w:sz w:val="24"/>
          <w:highlight w:val="none"/>
        </w:rPr>
        <w:t>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49B02BA3">
      <w:pPr>
        <w:numPr>
          <w:ilvl w:val="1"/>
          <w:numId w:val="4"/>
        </w:numPr>
        <w:shd w:val="clear" w:color="auto"/>
        <w:tabs>
          <w:tab w:val="left" w:pos="525"/>
          <w:tab w:val="left" w:pos="945"/>
          <w:tab w:val="clear" w:pos="780"/>
        </w:tabs>
        <w:spacing w:line="360" w:lineRule="auto"/>
        <w:ind w:left="0" w:firstLine="525"/>
        <w:rPr>
          <w:rFonts w:ascii="宋体" w:hAnsi="宋体" w:cs="宋体"/>
          <w:color w:val="auto"/>
          <w:sz w:val="24"/>
          <w:highlight w:val="none"/>
        </w:rPr>
      </w:pPr>
      <w:r>
        <w:rPr>
          <w:rFonts w:hint="eastAsia" w:ascii="宋体"/>
          <w:bCs/>
          <w:color w:val="auto"/>
          <w:sz w:val="24"/>
          <w:highlight w:val="none"/>
        </w:rPr>
        <w:t>根据国家扶持中小企业的有关政策，在我中心组织的采购项目中标的供应商，如需要政府采购合同融资，请按锡财购【2022】7号文件执行。</w:t>
      </w:r>
    </w:p>
    <w:p w14:paraId="1982BC94">
      <w:pPr>
        <w:shd w:val="clear" w:color="auto"/>
        <w:tabs>
          <w:tab w:val="left" w:pos="525"/>
          <w:tab w:val="left" w:pos="630"/>
          <w:tab w:val="left" w:pos="735"/>
          <w:tab w:val="left" w:pos="945"/>
          <w:tab w:val="left" w:pos="1080"/>
        </w:tabs>
        <w:spacing w:line="360" w:lineRule="auto"/>
        <w:ind w:firstLine="480"/>
        <w:rPr>
          <w:rFonts w:ascii="宋体"/>
          <w:bCs/>
          <w:color w:val="auto"/>
          <w:sz w:val="24"/>
          <w:highlight w:val="none"/>
        </w:rPr>
      </w:pPr>
      <w:r>
        <w:rPr>
          <w:rFonts w:hint="eastAsia" w:ascii="宋体"/>
          <w:bCs/>
          <w:color w:val="auto"/>
          <w:sz w:val="24"/>
          <w:highlight w:val="none"/>
        </w:rPr>
        <w:t>合同融资</w:t>
      </w:r>
      <w:r>
        <w:rPr>
          <w:rFonts w:ascii="宋体"/>
          <w:bCs/>
          <w:color w:val="auto"/>
          <w:sz w:val="24"/>
          <w:highlight w:val="none"/>
          <w:lang w:val="en"/>
        </w:rPr>
        <w:t>,</w:t>
      </w:r>
      <w:r>
        <w:rPr>
          <w:rFonts w:hint="eastAsia" w:ascii="宋体"/>
          <w:bCs/>
          <w:color w:val="auto"/>
          <w:sz w:val="24"/>
          <w:highlight w:val="none"/>
        </w:rPr>
        <w:t>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w:t>
      </w:r>
      <w:r>
        <w:rPr>
          <w:rFonts w:hint="eastAsia" w:ascii="宋体" w:hAnsi="宋体"/>
          <w:bCs/>
          <w:color w:val="auto"/>
          <w:sz w:val="24"/>
          <w:highlight w:val="none"/>
        </w:rPr>
        <w:t>“苏采云”系统</w:t>
      </w:r>
      <w:r>
        <w:rPr>
          <w:rFonts w:hint="eastAsia" w:ascii="宋体"/>
          <w:bCs/>
          <w:color w:val="auto"/>
          <w:sz w:val="24"/>
          <w:highlight w:val="none"/>
        </w:rPr>
        <w:t>凭政府采购中标、成交通知书或政府采购合同向采购人提出此合同有融资需求，采购人在</w:t>
      </w:r>
      <w:r>
        <w:rPr>
          <w:rFonts w:hint="eastAsia" w:ascii="宋体" w:hAnsi="宋体"/>
          <w:bCs/>
          <w:color w:val="auto"/>
          <w:sz w:val="24"/>
          <w:highlight w:val="none"/>
        </w:rPr>
        <w:t>“苏采云”系统</w:t>
      </w:r>
      <w:r>
        <w:rPr>
          <w:rFonts w:hint="eastAsia" w:ascii="宋体"/>
          <w:bCs/>
          <w:color w:val="auto"/>
          <w:sz w:val="24"/>
          <w:highlight w:val="none"/>
        </w:rPr>
        <w:t>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p>
    <w:p w14:paraId="3EEE2C9A">
      <w:pPr>
        <w:shd w:val="clear" w:color="auto"/>
        <w:tabs>
          <w:tab w:val="left" w:pos="525"/>
          <w:tab w:val="left" w:pos="630"/>
          <w:tab w:val="left" w:pos="735"/>
          <w:tab w:val="left" w:pos="945"/>
          <w:tab w:val="left" w:pos="1080"/>
        </w:tabs>
        <w:spacing w:line="360" w:lineRule="auto"/>
        <w:ind w:firstLine="480"/>
        <w:rPr>
          <w:rFonts w:ascii="宋体"/>
          <w:bCs/>
          <w:color w:val="auto"/>
          <w:sz w:val="24"/>
          <w:highlight w:val="none"/>
        </w:rPr>
      </w:pPr>
      <w:r>
        <w:rPr>
          <w:rFonts w:hint="eastAsia" w:ascii="宋体"/>
          <w:bCs/>
          <w:color w:val="auto"/>
          <w:sz w:val="24"/>
          <w:highlight w:val="none"/>
        </w:rPr>
        <w:t>中标、成交供应商可根据自身情况，自行决定是否选择采用合同融资形式， 在无锡政府采购网——政采贷专栏提供的银行名录内自主选择合作银行。</w:t>
      </w:r>
    </w:p>
    <w:p w14:paraId="5E3F0020">
      <w:pPr>
        <w:numPr>
          <w:ilvl w:val="1"/>
          <w:numId w:val="4"/>
        </w:numPr>
        <w:shd w:val="clear" w:color="auto"/>
        <w:tabs>
          <w:tab w:val="left" w:pos="525"/>
          <w:tab w:val="left" w:pos="945"/>
          <w:tab w:val="clear" w:pos="780"/>
        </w:tabs>
        <w:spacing w:line="360" w:lineRule="auto"/>
        <w:ind w:left="0" w:firstLine="525"/>
        <w:rPr>
          <w:rFonts w:ascii="宋体" w:hAnsi="宋体" w:cs="宋体"/>
          <w:color w:val="auto"/>
          <w:sz w:val="24"/>
          <w:highlight w:val="none"/>
        </w:rPr>
      </w:pPr>
      <w:r>
        <w:rPr>
          <w:rFonts w:hint="eastAsia" w:ascii="宋体"/>
          <w:bCs/>
          <w:color w:val="auto"/>
          <w:sz w:val="24"/>
          <w:highlight w:val="none"/>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580A27D8">
      <w:pPr>
        <w:shd w:val="clear" w:color="auto"/>
        <w:tabs>
          <w:tab w:val="left" w:pos="525"/>
          <w:tab w:val="left" w:pos="630"/>
          <w:tab w:val="left" w:pos="735"/>
          <w:tab w:val="left" w:pos="945"/>
          <w:tab w:val="left" w:pos="1080"/>
        </w:tabs>
        <w:spacing w:line="360" w:lineRule="auto"/>
        <w:ind w:firstLine="480"/>
        <w:rPr>
          <w:rFonts w:ascii="宋体"/>
          <w:bCs/>
          <w:color w:val="auto"/>
          <w:sz w:val="24"/>
          <w:highlight w:val="none"/>
        </w:rPr>
      </w:pPr>
      <w:r>
        <w:rPr>
          <w:rFonts w:hint="eastAsia" w:ascii="宋体"/>
          <w:bCs/>
          <w:color w:val="auto"/>
          <w:sz w:val="24"/>
          <w:highlight w:val="none"/>
          <w:lang w:val="en"/>
        </w:rPr>
        <w:t>中标、成交供应商可以根据自身情况，自行决定是否采用电子履约保函形式，具体操作可登陆江苏政府采购网的保险保函模块进行办理。</w:t>
      </w:r>
    </w:p>
    <w:p w14:paraId="383A10B1">
      <w:pPr>
        <w:numPr>
          <w:ilvl w:val="1"/>
          <w:numId w:val="4"/>
        </w:numPr>
        <w:shd w:val="clear" w:color="auto"/>
        <w:tabs>
          <w:tab w:val="left" w:pos="525"/>
          <w:tab w:val="left" w:pos="945"/>
          <w:tab w:val="clear" w:pos="780"/>
        </w:tabs>
        <w:spacing w:line="360" w:lineRule="auto"/>
        <w:ind w:left="0" w:firstLine="480"/>
        <w:rPr>
          <w:rFonts w:ascii="宋体"/>
          <w:bCs/>
          <w:color w:val="auto"/>
          <w:sz w:val="24"/>
          <w:highlight w:val="none"/>
        </w:rPr>
      </w:pPr>
      <w:r>
        <w:rPr>
          <w:rFonts w:hint="eastAsia" w:ascii="宋体" w:hAnsi="宋体" w:cs="宋体"/>
          <w:color w:val="auto"/>
          <w:sz w:val="24"/>
          <w:highlight w:val="none"/>
        </w:rPr>
        <w:t>本项目中如有涉及到数据库、操作系统、通用服务器、工作站、一体式计算机、便携式计算机、台式计算机等七种软硬件的，</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应满足招标文件要求。</w:t>
      </w:r>
      <w:r>
        <w:rPr>
          <w:rFonts w:hint="eastAsia" w:ascii="宋体"/>
          <w:bCs/>
          <w:color w:val="auto"/>
          <w:sz w:val="24"/>
          <w:highlight w:val="none"/>
        </w:rPr>
        <w:t>采购人可在合同中约定，</w:t>
      </w:r>
      <w:r>
        <w:rPr>
          <w:rFonts w:hint="eastAsia" w:ascii="宋体" w:hAnsi="宋体" w:cs="宋体"/>
          <w:color w:val="auto"/>
          <w:sz w:val="24"/>
          <w:highlight w:val="none"/>
        </w:rPr>
        <w:t>在</w:t>
      </w:r>
      <w:r>
        <w:rPr>
          <w:rFonts w:hint="eastAsia" w:ascii="宋体"/>
          <w:bCs/>
          <w:color w:val="auto"/>
          <w:sz w:val="24"/>
          <w:highlight w:val="none"/>
        </w:rPr>
        <w:t>履约验收管理时，可对所提供的七种软硬件进行验收，必要时可以委托依法取得检测、认证资质的机构进行检测、认证。</w:t>
      </w:r>
    </w:p>
    <w:p w14:paraId="0853C028">
      <w:pPr>
        <w:numPr>
          <w:ilvl w:val="1"/>
          <w:numId w:val="4"/>
        </w:numPr>
        <w:shd w:val="clear" w:color="auto"/>
        <w:tabs>
          <w:tab w:val="left" w:pos="525"/>
          <w:tab w:val="left" w:pos="945"/>
          <w:tab w:val="clear" w:pos="780"/>
        </w:tabs>
        <w:spacing w:line="360" w:lineRule="auto"/>
        <w:ind w:left="0" w:firstLine="480"/>
        <w:rPr>
          <w:rFonts w:ascii="宋体"/>
          <w:bCs/>
          <w:color w:val="auto"/>
          <w:sz w:val="24"/>
          <w:highlight w:val="none"/>
        </w:rPr>
      </w:pPr>
      <w:r>
        <w:rPr>
          <w:rFonts w:hint="eastAsia" w:ascii="宋体"/>
          <w:bCs/>
          <w:color w:val="auto"/>
          <w:sz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5CD61657">
      <w:pPr>
        <w:shd w:val="clear" w:color="auto"/>
        <w:tabs>
          <w:tab w:val="left" w:pos="525"/>
          <w:tab w:val="left" w:pos="630"/>
          <w:tab w:val="left" w:pos="735"/>
          <w:tab w:val="left" w:pos="945"/>
          <w:tab w:val="left" w:pos="1080"/>
        </w:tabs>
        <w:spacing w:line="360" w:lineRule="auto"/>
        <w:ind w:firstLine="480"/>
        <w:rPr>
          <w:rFonts w:ascii="宋体"/>
          <w:bCs/>
          <w:color w:val="auto"/>
          <w:sz w:val="24"/>
          <w:highlight w:val="none"/>
          <w:lang w:val="en"/>
        </w:rPr>
      </w:pPr>
      <w:r>
        <w:rPr>
          <w:rFonts w:hint="eastAsia" w:ascii="宋体"/>
          <w:bCs/>
          <w:color w:val="auto"/>
          <w:sz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19CE85DB">
      <w:pPr>
        <w:shd w:val="clear" w:color="auto"/>
        <w:rPr>
          <w:color w:val="auto"/>
          <w:highlight w:val="none"/>
        </w:rPr>
      </w:pPr>
      <w:r>
        <w:rPr>
          <w:rFonts w:hint="eastAsia" w:ascii="宋体"/>
          <w:bCs/>
          <w:color w:val="auto"/>
          <w:sz w:val="24"/>
          <w:highlight w:val="none"/>
          <w:lang w:val="en"/>
        </w:rPr>
        <w:t>采购人原则上应当自收到发票后1</w:t>
      </w:r>
      <w:r>
        <w:rPr>
          <w:rFonts w:ascii="宋体"/>
          <w:bCs/>
          <w:color w:val="auto"/>
          <w:sz w:val="24"/>
          <w:highlight w:val="none"/>
          <w:lang w:val="en"/>
        </w:rPr>
        <w:t>5</w:t>
      </w:r>
      <w:r>
        <w:rPr>
          <w:rFonts w:hint="eastAsia" w:ascii="宋体"/>
          <w:bCs/>
          <w:color w:val="auto"/>
          <w:sz w:val="24"/>
          <w:highlight w:val="none"/>
          <w:lang w:val="en"/>
        </w:rPr>
        <w:t>个工作日内将资金支付到合同约定的供应商账户。</w:t>
      </w:r>
    </w:p>
    <w:p w14:paraId="24DA1DD7">
      <w:pPr>
        <w:pStyle w:val="3"/>
        <w:shd w:val="clear" w:color="auto"/>
        <w:rPr>
          <w:rFonts w:ascii="宋体" w:hAnsi="宋体" w:eastAsia="宋体" w:cs="宋体"/>
          <w:color w:val="auto"/>
          <w:highlight w:val="none"/>
        </w:rPr>
      </w:pPr>
    </w:p>
    <w:p w14:paraId="001335BE">
      <w:pPr>
        <w:shd w:val="clear" w:color="auto"/>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 </w:t>
      </w:r>
    </w:p>
    <w:p w14:paraId="75DA3BD2">
      <w:pPr>
        <w:shd w:val="clear" w:color="auto"/>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p>
    <w:p w14:paraId="1E780065">
      <w:pPr>
        <w:spacing w:line="360" w:lineRule="auto"/>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四．合同书（格式）</w:t>
      </w:r>
    </w:p>
    <w:p w14:paraId="24370649">
      <w:pPr>
        <w:spacing w:line="360" w:lineRule="auto"/>
        <w:rPr>
          <w:rFonts w:hint="eastAsia" w:ascii="宋体" w:hAnsi="宋体"/>
          <w:color w:val="auto"/>
          <w:sz w:val="24"/>
          <w:highlight w:val="none"/>
        </w:rPr>
      </w:pPr>
      <w:r>
        <w:rPr>
          <w:rFonts w:hint="eastAsia" w:ascii="宋体" w:hAnsi="宋体"/>
          <w:color w:val="auto"/>
          <w:sz w:val="24"/>
          <w:highlight w:val="none"/>
        </w:rPr>
        <w:t>需方（采购人）：</w:t>
      </w:r>
      <w:r>
        <w:rPr>
          <w:rFonts w:hint="eastAsia" w:ascii="宋体" w:hAnsi="宋体"/>
          <w:color w:val="auto"/>
          <w:sz w:val="24"/>
          <w:highlight w:val="none"/>
          <w:u w:val="single"/>
        </w:rPr>
        <w:t xml:space="preserve">                         </w:t>
      </w:r>
    </w:p>
    <w:p w14:paraId="5124FF90">
      <w:pPr>
        <w:spacing w:line="360" w:lineRule="auto"/>
        <w:rPr>
          <w:rFonts w:hint="eastAsia" w:ascii="宋体" w:hAnsi="宋体"/>
          <w:color w:val="auto"/>
          <w:sz w:val="24"/>
          <w:highlight w:val="none"/>
        </w:rPr>
      </w:pPr>
      <w:r>
        <w:rPr>
          <w:rFonts w:hint="eastAsia" w:ascii="宋体" w:hAnsi="宋体"/>
          <w:color w:val="auto"/>
          <w:sz w:val="24"/>
          <w:highlight w:val="none"/>
        </w:rPr>
        <w:t>供方（中标方）：</w:t>
      </w:r>
      <w:r>
        <w:rPr>
          <w:rFonts w:hint="eastAsia" w:ascii="宋体" w:hAnsi="宋体"/>
          <w:color w:val="auto"/>
          <w:sz w:val="24"/>
          <w:highlight w:val="none"/>
          <w:u w:val="single"/>
        </w:rPr>
        <w:t xml:space="preserve">                         </w:t>
      </w:r>
    </w:p>
    <w:p w14:paraId="60EB0CFF">
      <w:pPr>
        <w:numPr>
          <w:ilvl w:val="0"/>
          <w:numId w:val="5"/>
        </w:numPr>
        <w:spacing w:line="360" w:lineRule="auto"/>
        <w:ind w:left="0" w:firstLine="442"/>
        <w:rPr>
          <w:rFonts w:hint="eastAsia" w:ascii="宋体" w:hAnsi="宋体"/>
          <w:color w:val="auto"/>
          <w:sz w:val="24"/>
          <w:highlight w:val="none"/>
        </w:rPr>
      </w:pPr>
      <w:r>
        <w:rPr>
          <w:rFonts w:hint="eastAsia" w:ascii="宋体" w:hAnsi="宋体"/>
          <w:color w:val="auto"/>
          <w:sz w:val="24"/>
          <w:highlight w:val="none"/>
        </w:rPr>
        <w:t>采购政府采购编号：</w:t>
      </w:r>
      <w:r>
        <w:rPr>
          <w:rFonts w:hint="eastAsia" w:ascii="宋体" w:hAnsi="宋体"/>
          <w:color w:val="auto"/>
          <w:sz w:val="24"/>
          <w:highlight w:val="none"/>
          <w:u w:val="single"/>
        </w:rPr>
        <w:t xml:space="preserve">                 </w:t>
      </w:r>
    </w:p>
    <w:p w14:paraId="104BA680">
      <w:pPr>
        <w:numPr>
          <w:ilvl w:val="0"/>
          <w:numId w:val="5"/>
        </w:numPr>
        <w:spacing w:line="360" w:lineRule="auto"/>
        <w:ind w:left="0" w:firstLine="442"/>
        <w:rPr>
          <w:rFonts w:hint="eastAsia" w:ascii="宋体" w:hAnsi="宋体"/>
          <w:color w:val="auto"/>
          <w:sz w:val="24"/>
          <w:highlight w:val="none"/>
        </w:rPr>
      </w:pPr>
      <w:r>
        <w:rPr>
          <w:rFonts w:hint="eastAsia" w:ascii="宋体" w:hAnsi="宋体"/>
          <w:color w:val="auto"/>
          <w:sz w:val="24"/>
          <w:highlight w:val="none"/>
        </w:rPr>
        <w:t>采购内容</w:t>
      </w:r>
      <w:r>
        <w:rPr>
          <w:rFonts w:hint="eastAsia" w:ascii="宋体" w:hAnsi="宋体"/>
          <w:color w:val="auto"/>
          <w:sz w:val="24"/>
          <w:highlight w:val="none"/>
          <w:u w:val="single"/>
        </w:rPr>
        <w:t xml:space="preserve">：                                                 </w:t>
      </w:r>
    </w:p>
    <w:p w14:paraId="20C9B788">
      <w:pPr>
        <w:numPr>
          <w:ilvl w:val="0"/>
          <w:numId w:val="5"/>
        </w:numPr>
        <w:spacing w:line="360" w:lineRule="auto"/>
        <w:ind w:left="0" w:firstLine="442"/>
        <w:rPr>
          <w:rFonts w:hint="eastAsia" w:ascii="宋体" w:hAnsi="宋体"/>
          <w:color w:val="auto"/>
          <w:sz w:val="24"/>
          <w:highlight w:val="none"/>
        </w:rPr>
      </w:pPr>
      <w:r>
        <w:rPr>
          <w:rFonts w:hint="eastAsia" w:ascii="宋体" w:hAnsi="宋体"/>
          <w:color w:val="auto"/>
          <w:sz w:val="24"/>
          <w:highlight w:val="none"/>
        </w:rPr>
        <w:t>中标总金额：（大写）</w:t>
      </w:r>
      <w:r>
        <w:rPr>
          <w:rFonts w:hint="eastAsia" w:ascii="宋体" w:hAnsi="宋体"/>
          <w:color w:val="auto"/>
          <w:sz w:val="24"/>
          <w:highlight w:val="none"/>
          <w:u w:val="single"/>
        </w:rPr>
        <w:t xml:space="preserve">                  </w:t>
      </w:r>
      <w:r>
        <w:rPr>
          <w:rFonts w:hint="eastAsia" w:ascii="宋体" w:hAnsi="宋体"/>
          <w:color w:val="auto"/>
          <w:sz w:val="24"/>
          <w:highlight w:val="none"/>
        </w:rPr>
        <w:t>；（小写）</w:t>
      </w:r>
      <w:r>
        <w:rPr>
          <w:rFonts w:hint="eastAsia" w:ascii="宋体" w:hAnsi="宋体"/>
          <w:color w:val="auto"/>
          <w:sz w:val="24"/>
          <w:highlight w:val="none"/>
          <w:u w:val="single"/>
        </w:rPr>
        <w:t xml:space="preserve">           </w:t>
      </w:r>
    </w:p>
    <w:p w14:paraId="36C8AA14">
      <w:pPr>
        <w:numPr>
          <w:ilvl w:val="0"/>
          <w:numId w:val="5"/>
        </w:numPr>
        <w:spacing w:line="360" w:lineRule="auto"/>
        <w:ind w:left="0" w:firstLine="442"/>
        <w:rPr>
          <w:rFonts w:hint="eastAsia" w:ascii="宋体" w:hAnsi="宋体"/>
          <w:color w:val="auto"/>
          <w:sz w:val="24"/>
          <w:highlight w:val="none"/>
        </w:rPr>
      </w:pPr>
      <w:r>
        <w:rPr>
          <w:rFonts w:hint="eastAsia" w:ascii="宋体" w:hAnsi="宋体"/>
          <w:bCs/>
          <w:color w:val="auto"/>
          <w:sz w:val="24"/>
          <w:szCs w:val="24"/>
          <w:highlight w:val="none"/>
        </w:rPr>
        <w:t>服务</w:t>
      </w:r>
      <w:r>
        <w:rPr>
          <w:rFonts w:hint="eastAsia" w:ascii="宋体" w:hAnsi="宋体"/>
          <w:bCs/>
          <w:color w:val="auto"/>
          <w:sz w:val="24"/>
          <w:szCs w:val="24"/>
          <w:highlight w:val="none"/>
          <w:lang w:val="en-US" w:eastAsia="zh-CN"/>
        </w:rPr>
        <w:t>期</w:t>
      </w:r>
      <w:r>
        <w:rPr>
          <w:rFonts w:hint="eastAsia" w:ascii="宋体" w:hAnsi="宋体"/>
          <w:color w:val="auto"/>
          <w:sz w:val="24"/>
          <w:highlight w:val="none"/>
        </w:rPr>
        <w:t>：</w:t>
      </w:r>
      <w:r>
        <w:rPr>
          <w:rFonts w:hint="eastAsia" w:ascii="宋体" w:hAnsi="宋体"/>
          <w:color w:val="auto"/>
          <w:sz w:val="24"/>
          <w:highlight w:val="none"/>
          <w:u w:val="single"/>
        </w:rPr>
        <w:t xml:space="preserve">                                 </w:t>
      </w:r>
    </w:p>
    <w:p w14:paraId="1EB7255A">
      <w:pPr>
        <w:numPr>
          <w:ilvl w:val="0"/>
          <w:numId w:val="5"/>
        </w:numPr>
        <w:spacing w:line="360" w:lineRule="auto"/>
        <w:ind w:left="0" w:firstLine="442"/>
        <w:rPr>
          <w:rFonts w:hint="eastAsia" w:ascii="宋体" w:hAnsi="宋体"/>
          <w:color w:val="auto"/>
          <w:sz w:val="24"/>
          <w:highlight w:val="none"/>
        </w:rPr>
      </w:pPr>
      <w:r>
        <w:rPr>
          <w:rFonts w:hint="eastAsia" w:ascii="宋体" w:hAnsi="宋体"/>
          <w:bCs/>
          <w:color w:val="auto"/>
          <w:sz w:val="24"/>
          <w:szCs w:val="24"/>
          <w:highlight w:val="none"/>
        </w:rPr>
        <w:t>服务</w:t>
      </w:r>
      <w:r>
        <w:rPr>
          <w:rFonts w:hint="eastAsia" w:ascii="宋体" w:hAnsi="宋体"/>
          <w:bCs/>
          <w:color w:val="auto"/>
          <w:sz w:val="24"/>
          <w:szCs w:val="24"/>
          <w:highlight w:val="none"/>
          <w:lang w:val="en-US" w:eastAsia="zh-CN"/>
        </w:rPr>
        <w:t>质量及验收标准</w:t>
      </w:r>
      <w:r>
        <w:rPr>
          <w:rFonts w:hint="eastAsia" w:ascii="宋体" w:hAnsi="宋体"/>
          <w:color w:val="auto"/>
          <w:sz w:val="24"/>
          <w:highlight w:val="none"/>
        </w:rPr>
        <w:t>：</w:t>
      </w:r>
      <w:r>
        <w:rPr>
          <w:rFonts w:hint="eastAsia" w:ascii="宋体" w:hAnsi="宋体"/>
          <w:color w:val="auto"/>
          <w:sz w:val="24"/>
          <w:highlight w:val="none"/>
          <w:u w:val="single"/>
        </w:rPr>
        <w:t xml:space="preserve">                                           </w:t>
      </w:r>
    </w:p>
    <w:p w14:paraId="57FC843F">
      <w:pPr>
        <w:numPr>
          <w:ilvl w:val="0"/>
          <w:numId w:val="5"/>
        </w:numPr>
        <w:spacing w:line="360" w:lineRule="auto"/>
        <w:ind w:left="0" w:firstLine="442"/>
        <w:rPr>
          <w:rFonts w:hint="eastAsia" w:ascii="宋体" w:hAnsi="宋体"/>
          <w:color w:val="auto"/>
          <w:sz w:val="24"/>
          <w:highlight w:val="none"/>
        </w:rPr>
      </w:pPr>
      <w:r>
        <w:rPr>
          <w:rFonts w:hint="eastAsia" w:ascii="宋体" w:hAnsi="宋体"/>
          <w:bCs/>
          <w:color w:val="auto"/>
          <w:sz w:val="24"/>
          <w:szCs w:val="24"/>
          <w:highlight w:val="none"/>
        </w:rPr>
        <w:t>服务地点和方式</w:t>
      </w:r>
      <w:r>
        <w:rPr>
          <w:rFonts w:hint="eastAsia" w:ascii="宋体" w:hAnsi="宋体"/>
          <w:color w:val="auto"/>
          <w:sz w:val="24"/>
          <w:highlight w:val="none"/>
        </w:rPr>
        <w:t>：</w:t>
      </w:r>
      <w:r>
        <w:rPr>
          <w:rFonts w:hint="eastAsia" w:ascii="宋体" w:hAnsi="宋体"/>
          <w:color w:val="auto"/>
          <w:sz w:val="24"/>
          <w:highlight w:val="none"/>
          <w:u w:val="single"/>
        </w:rPr>
        <w:t xml:space="preserve">                                           </w:t>
      </w:r>
    </w:p>
    <w:p w14:paraId="7A011B52">
      <w:pPr>
        <w:numPr>
          <w:ilvl w:val="0"/>
          <w:numId w:val="5"/>
        </w:numPr>
        <w:spacing w:line="360" w:lineRule="auto"/>
        <w:ind w:left="0" w:firstLine="442"/>
        <w:rPr>
          <w:rFonts w:hint="eastAsia" w:ascii="宋体" w:hAnsi="宋体"/>
          <w:color w:val="auto"/>
          <w:sz w:val="24"/>
          <w:highlight w:val="none"/>
        </w:rPr>
      </w:pPr>
      <w:r>
        <w:rPr>
          <w:rFonts w:hint="eastAsia" w:ascii="宋体" w:hAnsi="宋体"/>
          <w:bCs/>
          <w:color w:val="auto"/>
          <w:sz w:val="24"/>
          <w:szCs w:val="24"/>
          <w:highlight w:val="none"/>
        </w:rPr>
        <w:t>付款方式</w:t>
      </w:r>
      <w:r>
        <w:rPr>
          <w:rFonts w:hint="eastAsia" w:ascii="宋体" w:hAnsi="宋体"/>
          <w:color w:val="auto"/>
          <w:sz w:val="24"/>
          <w:highlight w:val="none"/>
        </w:rPr>
        <w:t>：</w:t>
      </w:r>
      <w:r>
        <w:rPr>
          <w:rFonts w:hint="eastAsia" w:ascii="宋体" w:hAnsi="宋体"/>
          <w:color w:val="auto"/>
          <w:sz w:val="24"/>
          <w:highlight w:val="none"/>
          <w:u w:val="single"/>
        </w:rPr>
        <w:t xml:space="preserve">                                       </w:t>
      </w:r>
    </w:p>
    <w:p w14:paraId="2D8544F1">
      <w:pPr>
        <w:numPr>
          <w:ilvl w:val="0"/>
          <w:numId w:val="5"/>
        </w:numPr>
        <w:spacing w:line="360" w:lineRule="auto"/>
        <w:ind w:left="0" w:firstLine="442"/>
        <w:rPr>
          <w:rFonts w:hint="eastAsia" w:ascii="宋体" w:hAnsi="宋体"/>
          <w:color w:val="auto"/>
          <w:sz w:val="24"/>
          <w:highlight w:val="none"/>
        </w:rPr>
      </w:pPr>
      <w:r>
        <w:rPr>
          <w:rFonts w:hint="eastAsia" w:ascii="宋体" w:hAnsi="宋体"/>
          <w:color w:val="auto"/>
          <w:sz w:val="24"/>
          <w:highlight w:val="none"/>
        </w:rPr>
        <w:t>违约责任：</w:t>
      </w:r>
      <w:r>
        <w:rPr>
          <w:rFonts w:hint="eastAsia" w:ascii="宋体" w:hAnsi="宋体"/>
          <w:color w:val="auto"/>
          <w:sz w:val="24"/>
          <w:highlight w:val="none"/>
          <w:u w:val="single"/>
        </w:rPr>
        <w:t xml:space="preserve">                                                 </w:t>
      </w:r>
    </w:p>
    <w:p w14:paraId="7759FA9D">
      <w:pPr>
        <w:numPr>
          <w:ilvl w:val="0"/>
          <w:numId w:val="5"/>
        </w:numPr>
        <w:spacing w:line="360" w:lineRule="auto"/>
        <w:ind w:left="0" w:firstLine="442"/>
        <w:rPr>
          <w:rFonts w:hint="eastAsia" w:ascii="宋体" w:hAnsi="宋体"/>
          <w:color w:val="auto"/>
          <w:sz w:val="24"/>
          <w:highlight w:val="none"/>
        </w:rPr>
      </w:pPr>
      <w:r>
        <w:rPr>
          <w:rFonts w:hint="eastAsia" w:ascii="宋体" w:hAnsi="宋体"/>
          <w:color w:val="auto"/>
          <w:sz w:val="24"/>
          <w:highlight w:val="none"/>
        </w:rPr>
        <w:t>解决争议的方式：</w:t>
      </w:r>
      <w:r>
        <w:rPr>
          <w:rFonts w:hint="eastAsia" w:ascii="宋体" w:hAnsi="宋体"/>
          <w:color w:val="auto"/>
          <w:sz w:val="24"/>
          <w:highlight w:val="none"/>
          <w:u w:val="single"/>
        </w:rPr>
        <w:t xml:space="preserve">                                           </w:t>
      </w:r>
    </w:p>
    <w:p w14:paraId="42038D8C">
      <w:pPr>
        <w:numPr>
          <w:ilvl w:val="0"/>
          <w:numId w:val="5"/>
        </w:numPr>
        <w:spacing w:line="360" w:lineRule="auto"/>
        <w:ind w:left="0" w:firstLine="442"/>
        <w:rPr>
          <w:rFonts w:hint="eastAsia" w:ascii="宋体" w:hAnsi="宋体"/>
          <w:color w:val="auto"/>
          <w:sz w:val="24"/>
          <w:highlight w:val="none"/>
        </w:rPr>
      </w:pPr>
      <w:r>
        <w:rPr>
          <w:rFonts w:hint="eastAsia" w:ascii="宋体" w:hAnsi="宋体"/>
          <w:color w:val="auto"/>
          <w:sz w:val="24"/>
          <w:highlight w:val="none"/>
        </w:rPr>
        <w:t>其他事项：</w:t>
      </w:r>
      <w:r>
        <w:rPr>
          <w:rFonts w:hint="eastAsia" w:ascii="宋体" w:hAnsi="宋体"/>
          <w:color w:val="auto"/>
          <w:sz w:val="24"/>
          <w:highlight w:val="none"/>
          <w:u w:val="single"/>
        </w:rPr>
        <w:t xml:space="preserve">                                                 </w:t>
      </w:r>
    </w:p>
    <w:p w14:paraId="7AA6E917">
      <w:pPr>
        <w:numPr>
          <w:ilvl w:val="0"/>
          <w:numId w:val="5"/>
        </w:numPr>
        <w:spacing w:line="360" w:lineRule="auto"/>
        <w:ind w:left="0" w:firstLine="442"/>
        <w:rPr>
          <w:rFonts w:hint="eastAsia" w:ascii="宋体" w:hAnsi="宋体"/>
          <w:color w:val="auto"/>
          <w:sz w:val="24"/>
          <w:highlight w:val="none"/>
        </w:rPr>
      </w:pPr>
      <w:r>
        <w:rPr>
          <w:rFonts w:hint="eastAsia" w:ascii="宋体" w:hAnsi="宋体"/>
          <w:color w:val="auto"/>
          <w:sz w:val="24"/>
          <w:highlight w:val="none"/>
        </w:rPr>
        <w:t>合同不可分割部分：</w:t>
      </w:r>
    </w:p>
    <w:p w14:paraId="34628261">
      <w:pPr>
        <w:spacing w:line="360" w:lineRule="auto"/>
        <w:ind w:firstLine="480"/>
        <w:rPr>
          <w:rFonts w:hint="eastAsia" w:ascii="宋体" w:hAnsi="宋体"/>
          <w:color w:val="auto"/>
          <w:sz w:val="24"/>
          <w:highlight w:val="none"/>
        </w:rPr>
      </w:pPr>
      <w:r>
        <w:rPr>
          <w:rFonts w:hint="eastAsia" w:ascii="宋体" w:hAnsi="宋体"/>
          <w:color w:val="auto"/>
          <w:sz w:val="24"/>
          <w:highlight w:val="none"/>
        </w:rPr>
        <w:t>采购文件、投标文件、合同条款及中标通知书，供方在报价、评审过程中所作其他有关承诺、声明、书面澄清等均为合同不可分割的部分，与主合同具有同等法律效力。</w:t>
      </w:r>
    </w:p>
    <w:p w14:paraId="319E83C8">
      <w:pPr>
        <w:numPr>
          <w:ilvl w:val="0"/>
          <w:numId w:val="5"/>
        </w:numPr>
        <w:spacing w:line="360" w:lineRule="auto"/>
        <w:ind w:left="0" w:firstLine="442"/>
        <w:rPr>
          <w:rFonts w:hint="eastAsia" w:ascii="宋体" w:hAnsi="宋体"/>
          <w:color w:val="auto"/>
          <w:sz w:val="24"/>
          <w:highlight w:val="none"/>
        </w:rPr>
      </w:pPr>
      <w:r>
        <w:rPr>
          <w:rFonts w:hint="eastAsia" w:ascii="宋体" w:hAnsi="宋体"/>
          <w:color w:val="auto"/>
          <w:sz w:val="24"/>
          <w:highlight w:val="none"/>
        </w:rPr>
        <w:t>合同备案：</w:t>
      </w:r>
    </w:p>
    <w:p w14:paraId="479F94B7">
      <w:pPr>
        <w:spacing w:line="360" w:lineRule="auto"/>
        <w:ind w:firstLine="480"/>
        <w:rPr>
          <w:rFonts w:hint="eastAsia" w:ascii="宋体" w:hAnsi="宋体"/>
          <w:color w:val="auto"/>
          <w:sz w:val="24"/>
          <w:highlight w:val="none"/>
        </w:rPr>
      </w:pPr>
      <w:r>
        <w:rPr>
          <w:rFonts w:hint="eastAsia" w:ascii="宋体" w:hAnsi="宋体"/>
          <w:color w:val="auto"/>
          <w:sz w:val="24"/>
          <w:highlight w:val="none"/>
        </w:rPr>
        <w:t>合同一式伍份，供需双方各执贰份，采购代理机构一份。</w:t>
      </w:r>
    </w:p>
    <w:p w14:paraId="29E9A00F">
      <w:pPr>
        <w:numPr>
          <w:ilvl w:val="0"/>
          <w:numId w:val="5"/>
        </w:numPr>
        <w:spacing w:line="360" w:lineRule="auto"/>
        <w:ind w:left="0" w:firstLine="442"/>
        <w:rPr>
          <w:rFonts w:hint="eastAsia" w:ascii="宋体" w:hAnsi="宋体"/>
          <w:color w:val="auto"/>
          <w:sz w:val="24"/>
          <w:highlight w:val="none"/>
        </w:rPr>
      </w:pPr>
      <w:r>
        <w:rPr>
          <w:rFonts w:hint="eastAsia" w:ascii="宋体" w:hAnsi="宋体"/>
          <w:color w:val="auto"/>
          <w:sz w:val="24"/>
          <w:highlight w:val="none"/>
        </w:rPr>
        <w:t>合同生效：</w:t>
      </w:r>
    </w:p>
    <w:p w14:paraId="7AAFCF17">
      <w:pPr>
        <w:spacing w:line="360" w:lineRule="auto"/>
        <w:ind w:firstLine="480"/>
        <w:rPr>
          <w:rFonts w:hint="eastAsia" w:ascii="宋体" w:hAnsi="宋体"/>
          <w:color w:val="auto"/>
          <w:sz w:val="24"/>
          <w:highlight w:val="none"/>
        </w:rPr>
      </w:pPr>
      <w:r>
        <w:rPr>
          <w:rFonts w:hint="eastAsia" w:ascii="宋体" w:hAnsi="宋体"/>
          <w:color w:val="auto"/>
          <w:sz w:val="24"/>
          <w:highlight w:val="none"/>
        </w:rPr>
        <w:t>本合同由供需双方签字、盖章，并经采购代理机构见证后生效。</w:t>
      </w:r>
    </w:p>
    <w:p w14:paraId="33AC840C">
      <w:pPr>
        <w:spacing w:line="360" w:lineRule="auto"/>
        <w:rPr>
          <w:rFonts w:hint="eastAsia" w:ascii="宋体" w:hAnsi="宋体"/>
          <w:color w:val="auto"/>
          <w:sz w:val="24"/>
          <w:highlight w:val="none"/>
        </w:rPr>
      </w:pPr>
      <w:r>
        <w:rPr>
          <w:rFonts w:hint="eastAsia" w:ascii="宋体" w:hAnsi="宋体"/>
          <w:color w:val="auto"/>
          <w:sz w:val="24"/>
          <w:highlight w:val="none"/>
        </w:rPr>
        <w:t xml:space="preserve"> 需方（采购人）：      （盖章）      供方（中标方）：         （盖章）</w:t>
      </w:r>
    </w:p>
    <w:p w14:paraId="3019BC3B">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法定（授权）代表人：                 法定（授权）代表人：               </w:t>
      </w:r>
    </w:p>
    <w:p w14:paraId="3FEA0137">
      <w:pPr>
        <w:spacing w:line="360" w:lineRule="auto"/>
        <w:rPr>
          <w:rFonts w:hint="eastAsia" w:ascii="宋体" w:hAnsi="宋体"/>
          <w:color w:val="auto"/>
          <w:sz w:val="24"/>
          <w:highlight w:val="none"/>
        </w:rPr>
      </w:pPr>
      <w:r>
        <w:rPr>
          <w:rFonts w:hint="eastAsia" w:ascii="宋体" w:hAnsi="宋体"/>
          <w:color w:val="auto"/>
          <w:sz w:val="24"/>
          <w:highlight w:val="none"/>
        </w:rPr>
        <w:t xml:space="preserve">           年      月       日                    年      月       日   </w:t>
      </w:r>
    </w:p>
    <w:p w14:paraId="6B6139A4">
      <w:pPr>
        <w:spacing w:line="360" w:lineRule="auto"/>
        <w:rPr>
          <w:rFonts w:hint="eastAsia" w:ascii="宋体" w:hAnsi="宋体"/>
          <w:color w:val="auto"/>
          <w:sz w:val="24"/>
          <w:highlight w:val="none"/>
        </w:rPr>
      </w:pPr>
      <w:r>
        <w:rPr>
          <w:rFonts w:hint="eastAsia" w:ascii="宋体" w:hAnsi="宋体"/>
          <w:color w:val="auto"/>
          <w:sz w:val="24"/>
          <w:highlight w:val="none"/>
        </w:rPr>
        <w:t xml:space="preserve">见证方：            （盖章）          供方户名：                        </w:t>
      </w:r>
    </w:p>
    <w:p w14:paraId="50298825">
      <w:pPr>
        <w:spacing w:line="360" w:lineRule="auto"/>
        <w:rPr>
          <w:rFonts w:hint="eastAsia" w:ascii="宋体" w:hAnsi="宋体"/>
          <w:color w:val="auto"/>
          <w:sz w:val="24"/>
          <w:highlight w:val="none"/>
        </w:rPr>
      </w:pPr>
      <w:r>
        <w:rPr>
          <w:rFonts w:hint="eastAsia" w:ascii="宋体" w:hAnsi="宋体"/>
          <w:color w:val="auto"/>
          <w:sz w:val="24"/>
          <w:highlight w:val="none"/>
        </w:rPr>
        <w:t xml:space="preserve">见证人：                              供方开户银行：                    </w:t>
      </w:r>
    </w:p>
    <w:p w14:paraId="52BAF565">
      <w:pPr>
        <w:spacing w:line="360" w:lineRule="auto"/>
        <w:rPr>
          <w:rFonts w:hint="eastAsia" w:ascii="宋体" w:hAnsi="宋体"/>
          <w:color w:val="auto"/>
          <w:sz w:val="24"/>
          <w:highlight w:val="none"/>
        </w:rPr>
      </w:pPr>
      <w:r>
        <w:rPr>
          <w:rFonts w:hint="eastAsia" w:ascii="宋体" w:hAnsi="宋体"/>
          <w:color w:val="auto"/>
          <w:sz w:val="24"/>
          <w:highlight w:val="none"/>
        </w:rPr>
        <w:t xml:space="preserve">                                      供方账号：                        </w:t>
      </w:r>
    </w:p>
    <w:p w14:paraId="0E976F26">
      <w:pPr>
        <w:spacing w:line="360" w:lineRule="auto"/>
        <w:rPr>
          <w:rFonts w:hint="eastAsia" w:ascii="宋体" w:hAnsi="宋体"/>
          <w:color w:val="auto"/>
          <w:sz w:val="24"/>
          <w:highlight w:val="none"/>
        </w:rPr>
      </w:pPr>
      <w:r>
        <w:rPr>
          <w:rFonts w:hint="eastAsia" w:ascii="宋体" w:hAnsi="宋体"/>
          <w:color w:val="auto"/>
          <w:sz w:val="24"/>
          <w:highlight w:val="none"/>
        </w:rPr>
        <w:t xml:space="preserve">       </w:t>
      </w:r>
    </w:p>
    <w:p w14:paraId="73880032">
      <w:pPr>
        <w:spacing w:line="360" w:lineRule="auto"/>
        <w:rPr>
          <w:rFonts w:hint="eastAsia" w:ascii="宋体" w:hAnsi="宋体" w:cs="宋体"/>
          <w:color w:val="auto"/>
          <w:sz w:val="24"/>
          <w:highlight w:val="none"/>
          <w:shd w:val="clear" w:color="auto" w:fill="FFFFFF"/>
        </w:rPr>
        <w:sectPr>
          <w:pgSz w:w="11906" w:h="16838"/>
          <w:pgMar w:top="1440" w:right="1440" w:bottom="1440" w:left="1327" w:header="851" w:footer="992" w:gutter="0"/>
          <w:cols w:space="1701" w:num="1"/>
          <w:docGrid w:linePitch="360" w:charSpace="0"/>
        </w:sectPr>
      </w:pPr>
      <w:r>
        <w:rPr>
          <w:rFonts w:hint="eastAsia" w:ascii="宋体" w:hAnsi="宋体"/>
          <w:color w:val="auto"/>
          <w:sz w:val="24"/>
          <w:highlight w:val="none"/>
        </w:rPr>
        <w:t>★.备注：供需双方必须以本格式文本，按照合同条款拟订合同。</w:t>
      </w:r>
    </w:p>
    <w:p w14:paraId="27D3E4CB">
      <w:pPr>
        <w:spacing w:line="360" w:lineRule="auto"/>
        <w:jc w:val="center"/>
        <w:rPr>
          <w:rFonts w:hint="eastAsia" w:ascii="宋体" w:hAnsi="宋体"/>
          <w:b/>
          <w:bCs/>
          <w:color w:val="auto"/>
          <w:sz w:val="24"/>
          <w:highlight w:val="none"/>
        </w:rPr>
      </w:pPr>
      <w:r>
        <w:rPr>
          <w:rFonts w:hint="eastAsia" w:ascii="宋体" w:hAnsi="宋体"/>
          <w:b/>
          <w:bCs/>
          <w:color w:val="auto"/>
          <w:sz w:val="24"/>
          <w:highlight w:val="none"/>
        </w:rPr>
        <w:t>合同条款</w:t>
      </w:r>
    </w:p>
    <w:p w14:paraId="2E4D8D5A">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根据采购编</w:t>
      </w:r>
      <w:r>
        <w:rPr>
          <w:rFonts w:hint="eastAsia" w:ascii="宋体" w:hAnsi="宋体" w:cs="宋体"/>
          <w:bCs/>
          <w:color w:val="auto"/>
          <w:sz w:val="24"/>
          <w:szCs w:val="24"/>
          <w:highlight w:val="none"/>
          <w:lang w:val="en-US" w:eastAsia="zh-CN"/>
        </w:rPr>
        <w:t>号</w:t>
      </w:r>
      <w:r>
        <w:rPr>
          <w:rFonts w:hint="eastAsia" w:ascii="宋体" w:hAnsi="宋体" w:cs="宋体"/>
          <w:bCs/>
          <w:color w:val="auto"/>
          <w:sz w:val="24"/>
          <w:szCs w:val="24"/>
          <w:highlight w:val="none"/>
        </w:rPr>
        <w:t>JSZC-320200-HCCG-G2024-0021采购文件和该文件的中标通知书及供方投标文件，供需双方就此次</w:t>
      </w:r>
      <w:r>
        <w:rPr>
          <w:rFonts w:hint="eastAsia" w:ascii="宋体" w:hAnsi="宋体" w:cs="宋体"/>
          <w:bCs/>
          <w:color w:val="auto"/>
          <w:sz w:val="24"/>
          <w:szCs w:val="24"/>
          <w:highlight w:val="none"/>
          <w:u w:val="single"/>
          <w:lang w:eastAsia="zh-CN"/>
        </w:rPr>
        <w:t>文华路199号综合楼餐饮服务项目（第二次）</w:t>
      </w:r>
      <w:r>
        <w:rPr>
          <w:rFonts w:hint="eastAsia" w:ascii="宋体" w:hAnsi="宋体" w:cs="宋体"/>
          <w:bCs/>
          <w:color w:val="auto"/>
          <w:sz w:val="24"/>
          <w:szCs w:val="24"/>
          <w:highlight w:val="none"/>
        </w:rPr>
        <w:t>及相关问题，同意按下列条款规定执行。</w:t>
      </w:r>
    </w:p>
    <w:p w14:paraId="2559686F">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（一）承包期限和经营项目</w:t>
      </w:r>
    </w:p>
    <w:p w14:paraId="7CF1DBA7">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w:t>
      </w:r>
      <w:r>
        <w:rPr>
          <w:rFonts w:ascii="宋体" w:hAnsi="宋体" w:cs="宋体"/>
          <w:color w:val="auto"/>
          <w:sz w:val="24"/>
          <w:highlight w:val="none"/>
        </w:rPr>
        <w:t>.</w:t>
      </w:r>
      <w:r>
        <w:rPr>
          <w:rFonts w:hint="eastAsia" w:ascii="宋体" w:hAnsi="宋体" w:cs="宋体"/>
          <w:color w:val="auto"/>
          <w:sz w:val="24"/>
          <w:highlight w:val="none"/>
          <w:lang w:eastAsia="zh-CN"/>
        </w:rPr>
        <w:t>文华路199号综合楼餐饮服务的外包</w:t>
      </w:r>
      <w:r>
        <w:rPr>
          <w:rFonts w:hint="eastAsia" w:ascii="宋体" w:hAnsi="宋体" w:cs="宋体"/>
          <w:color w:val="auto"/>
          <w:sz w:val="24"/>
          <w:highlight w:val="none"/>
        </w:rPr>
        <w:t>。</w:t>
      </w:r>
      <w:r>
        <w:rPr>
          <w:rFonts w:hint="eastAsia" w:ascii="宋体" w:hAnsi="宋体" w:cs="仿宋_GB2312"/>
          <w:bCs/>
          <w:color w:val="auto"/>
          <w:sz w:val="24"/>
          <w:szCs w:val="24"/>
          <w:highlight w:val="none"/>
        </w:rPr>
        <w:t>开餐天数为全年（节假日除外），供应早餐和中餐，早餐服务约200人用餐、中餐服务约600人用餐，承担传统节日应节保障、特色美食研发及活动等。其他需增加的餐饮服务项目必须无偿提供服务</w:t>
      </w:r>
      <w:r>
        <w:rPr>
          <w:rFonts w:hint="eastAsia" w:ascii="宋体" w:hAnsi="宋体" w:cs="宋体"/>
          <w:color w:val="auto"/>
          <w:sz w:val="24"/>
          <w:highlight w:val="none"/>
        </w:rPr>
        <w:t>。</w:t>
      </w:r>
    </w:p>
    <w:p w14:paraId="7242B0FE">
      <w:pPr>
        <w:spacing w:line="360" w:lineRule="auto"/>
        <w:ind w:firstLine="480"/>
        <w:rPr>
          <w:rFonts w:hint="eastAsia" w:ascii="宋体" w:hAnsi="宋体"/>
          <w:bCs/>
          <w:color w:val="auto"/>
          <w:sz w:val="24"/>
          <w:szCs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本合同承包期限约定为</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自合同签订之日起)</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具体时间以合同签订时间为准。甲方</w:t>
      </w:r>
      <w:r>
        <w:rPr>
          <w:rFonts w:hint="eastAsia" w:ascii="宋体" w:hAnsi="宋体"/>
          <w:color w:val="auto"/>
          <w:sz w:val="24"/>
          <w:szCs w:val="24"/>
          <w:highlight w:val="none"/>
        </w:rPr>
        <w:t>每半年度对中标单位做一次综合评估</w:t>
      </w:r>
      <w:r>
        <w:rPr>
          <w:rFonts w:hint="eastAsia" w:ascii="宋体" w:hAnsi="宋体"/>
          <w:color w:val="auto"/>
          <w:sz w:val="24"/>
          <w:szCs w:val="24"/>
          <w:highlight w:val="none"/>
          <w:lang w:eastAsia="zh-CN"/>
        </w:rPr>
        <w:t>，</w:t>
      </w:r>
      <w:r>
        <w:rPr>
          <w:rFonts w:hint="eastAsia" w:ascii="宋体" w:hAnsi="宋体"/>
          <w:color w:val="auto"/>
          <w:sz w:val="24"/>
          <w:szCs w:val="24"/>
          <w:highlight w:val="none"/>
        </w:rPr>
        <w:t>不合格者</w:t>
      </w:r>
      <w:r>
        <w:rPr>
          <w:rFonts w:hint="eastAsia" w:ascii="宋体" w:hAnsi="宋体"/>
          <w:color w:val="auto"/>
          <w:sz w:val="24"/>
          <w:szCs w:val="24"/>
          <w:highlight w:val="none"/>
          <w:lang w:eastAsia="zh-CN"/>
        </w:rPr>
        <w:t>（</w:t>
      </w:r>
      <w:r>
        <w:rPr>
          <w:rFonts w:hint="eastAsia" w:ascii="宋体" w:hAnsi="宋体"/>
          <w:color w:val="auto"/>
          <w:sz w:val="24"/>
          <w:highlight w:val="none"/>
        </w:rPr>
        <w:t>考核得分低于</w:t>
      </w:r>
      <w:r>
        <w:rPr>
          <w:rFonts w:hint="eastAsia" w:ascii="宋体" w:hAnsi="宋体"/>
          <w:color w:val="auto"/>
          <w:sz w:val="24"/>
          <w:highlight w:val="none"/>
          <w:lang w:val="en-US" w:eastAsia="zh-CN"/>
        </w:rPr>
        <w:t>6</w:t>
      </w:r>
      <w:r>
        <w:rPr>
          <w:rFonts w:hint="eastAsia" w:ascii="宋体" w:hAnsi="宋体"/>
          <w:color w:val="auto"/>
          <w:sz w:val="24"/>
          <w:highlight w:val="none"/>
        </w:rPr>
        <w:t>0分）</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甲方</w:t>
      </w:r>
      <w:r>
        <w:rPr>
          <w:rFonts w:hint="eastAsia" w:ascii="宋体" w:hAnsi="宋体"/>
          <w:bCs/>
          <w:color w:val="auto"/>
          <w:sz w:val="24"/>
          <w:szCs w:val="24"/>
          <w:highlight w:val="none"/>
        </w:rPr>
        <w:t>有权依照法律程序解除合同，并追究中标单位的违约责任。</w:t>
      </w:r>
    </w:p>
    <w:p w14:paraId="367E4F45">
      <w:pPr>
        <w:spacing w:line="360" w:lineRule="auto"/>
        <w:ind w:firstLine="480" w:firstLineChars="200"/>
        <w:rPr>
          <w:rFonts w:hint="eastAsia" w:ascii="宋体" w:hAnsi="宋体"/>
          <w:bCs/>
          <w:color w:val="auto"/>
          <w:sz w:val="24"/>
          <w:szCs w:val="24"/>
          <w:highlight w:val="none"/>
        </w:rPr>
      </w:pP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人员要求：本项目配置人员不少于19人。</w:t>
      </w:r>
      <w:r>
        <w:rPr>
          <w:rFonts w:hint="eastAsia" w:ascii="宋体" w:hAnsi="宋体"/>
          <w:bCs/>
          <w:color w:val="auto"/>
          <w:sz w:val="24"/>
          <w:szCs w:val="24"/>
          <w:highlight w:val="none"/>
        </w:rPr>
        <w:t>投标人针对本项目所进驻员工年龄，男性不得超过55周岁、女性不得超过50周岁。</w:t>
      </w:r>
      <w:r>
        <w:rPr>
          <w:rFonts w:hint="eastAsia" w:ascii="宋体" w:hAnsi="宋体"/>
          <w:color w:val="auto"/>
          <w:sz w:val="24"/>
          <w:szCs w:val="24"/>
          <w:highlight w:val="none"/>
        </w:rPr>
        <w:t>其中包含餐厅项目经理1名，厨师长1名，厨师4名，点心厨师2名，配菜、服务员10名，餐饮采购员1名。中标单位根据采购人要求落实定岗定人，员工工资不得低于无锡最低保障工资，需根据国家劳动部门规定缴纳相应社保及公积金等。员工工资、社保费用、税金、保险等法定费用为不可让利部分（不可竞争费</w:t>
      </w:r>
      <w:r>
        <w:rPr>
          <w:rFonts w:hint="eastAsia" w:ascii="宋体" w:hAnsi="宋体" w:cs="仿宋_GB2312"/>
          <w:bCs/>
          <w:color w:val="auto"/>
          <w:sz w:val="24"/>
          <w:szCs w:val="24"/>
          <w:highlight w:val="none"/>
        </w:rPr>
        <w:t>用），须按规定计算并报出薪酬体系，投标总报价不可低于上述相关费用合计，否则作无效投标处理。</w:t>
      </w:r>
    </w:p>
    <w:p w14:paraId="4410EC23">
      <w:pPr>
        <w:spacing w:line="360" w:lineRule="auto"/>
        <w:ind w:firstLine="480"/>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4.</w:t>
      </w:r>
      <w:r>
        <w:rPr>
          <w:rFonts w:hint="eastAsia" w:ascii="宋体" w:hAnsi="宋体"/>
          <w:color w:val="auto"/>
          <w:sz w:val="24"/>
          <w:szCs w:val="24"/>
          <w:highlight w:val="none"/>
        </w:rPr>
        <w:t>中标后根据要求及时办理《食品经营许可证》。</w:t>
      </w:r>
      <w:r>
        <w:rPr>
          <w:rFonts w:hint="eastAsia" w:ascii="宋体" w:hAnsi="宋体" w:cs="仿宋_GB2312"/>
          <w:color w:val="auto"/>
          <w:sz w:val="24"/>
          <w:szCs w:val="24"/>
          <w:highlight w:val="none"/>
        </w:rPr>
        <w:t>岗位要求：</w:t>
      </w:r>
      <w:r>
        <w:rPr>
          <w:rFonts w:hint="eastAsia" w:ascii="宋体" w:hAnsi="宋体" w:cs="仿宋_GB2312"/>
          <w:bCs/>
          <w:color w:val="auto"/>
          <w:sz w:val="24"/>
          <w:szCs w:val="24"/>
          <w:highlight w:val="none"/>
        </w:rPr>
        <w:t>所有人员必须持《健康证》上岗，政审合格、身体健康、无重大传染性疾病</w:t>
      </w:r>
      <w:r>
        <w:rPr>
          <w:rFonts w:hint="eastAsia" w:ascii="宋体" w:hAnsi="宋体" w:cs="仿宋_GB2312"/>
          <w:color w:val="auto"/>
          <w:sz w:val="24"/>
          <w:szCs w:val="24"/>
          <w:highlight w:val="none"/>
        </w:rPr>
        <w:t>。</w:t>
      </w:r>
    </w:p>
    <w:p w14:paraId="50177786">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（二）承包方式及用餐标准</w:t>
      </w:r>
    </w:p>
    <w:p w14:paraId="0C9AA776">
      <w:pPr>
        <w:widowControl w:val="0"/>
        <w:tabs>
          <w:tab w:val="left" w:pos="900"/>
        </w:tabs>
        <w:spacing w:line="360" w:lineRule="auto"/>
        <w:ind w:firstLine="480"/>
        <w:jc w:val="both"/>
        <w:rPr>
          <w:rFonts w:hint="eastAsia" w:ascii="宋体" w:hAnsi="宋体" w:eastAsia="宋体" w:cs="宋体"/>
          <w:bCs/>
          <w:color w:val="auto"/>
          <w:sz w:val="24"/>
          <w:szCs w:val="24"/>
          <w:highlight w:val="none"/>
          <w:lang w:eastAsia="zh-CN"/>
        </w:rPr>
      </w:pPr>
      <w:r>
        <w:rPr>
          <w:rFonts w:hint="eastAsia" w:ascii="宋体" w:hAnsi="宋体" w:cs="宋体"/>
          <w:color w:val="auto"/>
          <w:sz w:val="24"/>
          <w:highlight w:val="none"/>
          <w:lang w:val="en-US" w:eastAsia="zh-CN"/>
        </w:rPr>
        <w:t>1</w:t>
      </w:r>
      <w:r>
        <w:rPr>
          <w:rFonts w:ascii="宋体" w:hAnsi="宋体" w:cs="宋体"/>
          <w:color w:val="auto"/>
          <w:sz w:val="24"/>
          <w:highlight w:val="none"/>
        </w:rPr>
        <w:t xml:space="preserve">. </w:t>
      </w:r>
      <w:r>
        <w:rPr>
          <w:rFonts w:hint="eastAsia" w:ascii="宋体" w:hAnsi="宋体" w:eastAsia="宋体" w:cs="宋体"/>
          <w:bCs/>
          <w:color w:val="auto"/>
          <w:sz w:val="24"/>
          <w:szCs w:val="24"/>
          <w:highlight w:val="none"/>
          <w:lang w:eastAsia="zh-CN"/>
        </w:rPr>
        <w:t>服务地点：</w:t>
      </w:r>
      <w:r>
        <w:rPr>
          <w:rFonts w:hint="eastAsia" w:ascii="宋体" w:hAnsi="宋体" w:cs="仿宋_GB2312"/>
          <w:bCs/>
          <w:color w:val="auto"/>
          <w:sz w:val="24"/>
          <w:szCs w:val="24"/>
          <w:highlight w:val="none"/>
        </w:rPr>
        <w:t>项目位于无锡市梁溪区文华路199号</w:t>
      </w:r>
      <w:r>
        <w:rPr>
          <w:rFonts w:hint="eastAsia" w:ascii="宋体" w:hAnsi="宋体" w:eastAsia="宋体" w:cs="宋体"/>
          <w:bCs/>
          <w:color w:val="auto"/>
          <w:sz w:val="24"/>
          <w:szCs w:val="24"/>
          <w:highlight w:val="none"/>
          <w:lang w:eastAsia="zh-CN"/>
        </w:rPr>
        <w:t>。</w:t>
      </w:r>
    </w:p>
    <w:p w14:paraId="3EAD3F42">
      <w:pPr>
        <w:widowControl w:val="0"/>
        <w:tabs>
          <w:tab w:val="left" w:pos="900"/>
        </w:tabs>
        <w:spacing w:line="360" w:lineRule="auto"/>
        <w:ind w:firstLine="480"/>
        <w:jc w:val="both"/>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2</w:t>
      </w:r>
      <w:r>
        <w:rPr>
          <w:rFonts w:hint="eastAsia" w:ascii="宋体" w:hAnsi="宋体" w:eastAsia="宋体" w:cs="宋体"/>
          <w:bCs/>
          <w:color w:val="auto"/>
          <w:sz w:val="24"/>
          <w:szCs w:val="24"/>
          <w:highlight w:val="none"/>
          <w:lang w:eastAsia="zh-CN"/>
        </w:rPr>
        <w:t>.服务餐次：</w:t>
      </w:r>
      <w:r>
        <w:rPr>
          <w:rFonts w:hint="eastAsia" w:ascii="宋体" w:hAnsi="宋体"/>
          <w:color w:val="auto"/>
          <w:sz w:val="24"/>
          <w:szCs w:val="24"/>
          <w:highlight w:val="none"/>
        </w:rPr>
        <w:t>餐厅全年（节假日除外）提供早餐和中餐保障、传统节日应节保障、特色美食研发和活动等，早餐服务约200人用餐、中餐服务约600人用餐。开餐前，各岗位人员必须提前到岗（含项目经理、厨师长等），餐线服务人员不少于5人进行配置</w:t>
      </w:r>
      <w:r>
        <w:rPr>
          <w:rFonts w:hint="eastAsia" w:ascii="宋体" w:hAnsi="宋体" w:eastAsia="宋体" w:cs="宋体"/>
          <w:bCs/>
          <w:color w:val="auto"/>
          <w:sz w:val="24"/>
          <w:szCs w:val="24"/>
          <w:highlight w:val="none"/>
          <w:lang w:eastAsia="zh-CN"/>
        </w:rPr>
        <w:t>。</w:t>
      </w:r>
    </w:p>
    <w:p w14:paraId="20D38D0A">
      <w:pPr>
        <w:adjustRightInd w:val="0"/>
        <w:snapToGrid w:val="0"/>
        <w:spacing w:line="360" w:lineRule="auto"/>
        <w:ind w:firstLine="480" w:firstLineChars="200"/>
        <w:rPr>
          <w:rFonts w:hint="eastAsia" w:ascii="宋体" w:hAnsi="宋体" w:eastAsia="宋体" w:cs="宋体"/>
          <w:bCs/>
          <w:color w:val="auto"/>
          <w:sz w:val="24"/>
          <w:szCs w:val="24"/>
          <w:highlight w:val="none"/>
          <w:lang w:eastAsia="zh-CN"/>
        </w:rPr>
      </w:pPr>
      <w:r>
        <w:rPr>
          <w:rFonts w:hint="eastAsia" w:ascii="宋体" w:hAnsi="宋体"/>
          <w:color w:val="auto"/>
          <w:sz w:val="24"/>
          <w:szCs w:val="24"/>
          <w:highlight w:val="none"/>
          <w:lang w:eastAsia="zh-CN"/>
        </w:rPr>
        <w:t>（</w:t>
      </w:r>
      <w:r>
        <w:rPr>
          <w:rFonts w:hint="eastAsia" w:ascii="宋体" w:hAnsi="宋体"/>
          <w:color w:val="auto"/>
          <w:sz w:val="24"/>
          <w:szCs w:val="24"/>
          <w:highlight w:val="none"/>
        </w:rPr>
        <w:t>用餐时段</w:t>
      </w:r>
      <w:r>
        <w:rPr>
          <w:rFonts w:hint="eastAsia" w:ascii="宋体" w:hAnsi="宋体"/>
          <w:color w:val="auto"/>
          <w:sz w:val="24"/>
          <w:szCs w:val="24"/>
          <w:highlight w:val="none"/>
          <w:lang w:val="en-US" w:eastAsia="zh-CN"/>
        </w:rPr>
        <w:t xml:space="preserve"> </w:t>
      </w:r>
      <w:r>
        <w:rPr>
          <w:rFonts w:hint="eastAsia" w:ascii="宋体" w:hAnsi="宋体" w:cs="仿宋_GB2312"/>
          <w:color w:val="auto"/>
          <w:sz w:val="24"/>
          <w:szCs w:val="24"/>
          <w:highlight w:val="none"/>
        </w:rPr>
        <w:t>早餐：07：30—08：50</w:t>
      </w:r>
      <w:r>
        <w:rPr>
          <w:rFonts w:hint="eastAsia" w:ascii="宋体" w:hAnsi="宋体" w:cs="仿宋_GB2312"/>
          <w:color w:val="auto"/>
          <w:sz w:val="24"/>
          <w:szCs w:val="24"/>
          <w:highlight w:val="none"/>
          <w:lang w:val="en-US" w:eastAsia="zh-CN"/>
        </w:rPr>
        <w:t xml:space="preserve">    </w:t>
      </w:r>
      <w:r>
        <w:rPr>
          <w:rFonts w:hint="eastAsia" w:ascii="宋体" w:hAnsi="宋体" w:cs="仿宋_GB2312"/>
          <w:color w:val="auto"/>
          <w:sz w:val="24"/>
          <w:szCs w:val="24"/>
          <w:highlight w:val="none"/>
        </w:rPr>
        <w:t>中餐：11：00—12：30</w:t>
      </w:r>
      <w:r>
        <w:rPr>
          <w:rFonts w:hint="eastAsia" w:ascii="宋体" w:hAnsi="宋体"/>
          <w:color w:val="auto"/>
          <w:sz w:val="24"/>
          <w:szCs w:val="24"/>
          <w:highlight w:val="none"/>
          <w:lang w:eastAsia="zh-CN"/>
        </w:rPr>
        <w:t>）</w:t>
      </w:r>
    </w:p>
    <w:p w14:paraId="5D748450">
      <w:pPr>
        <w:spacing w:line="360" w:lineRule="auto"/>
        <w:ind w:firstLine="480"/>
        <w:rPr>
          <w:rFonts w:hint="eastAsia" w:ascii="宋体" w:hAnsi="宋体"/>
          <w:color w:val="auto"/>
          <w:sz w:val="24"/>
          <w:szCs w:val="24"/>
          <w:highlight w:val="none"/>
        </w:rPr>
      </w:pPr>
      <w:r>
        <w:rPr>
          <w:rFonts w:hint="eastAsia" w:ascii="宋体" w:hAnsi="宋体" w:eastAsia="宋体" w:cs="宋体"/>
          <w:bCs/>
          <w:color w:val="auto"/>
          <w:sz w:val="24"/>
          <w:szCs w:val="24"/>
          <w:highlight w:val="none"/>
          <w:lang w:eastAsia="zh-CN"/>
        </w:rPr>
        <w:t>3.餐饮</w:t>
      </w:r>
      <w:r>
        <w:rPr>
          <w:rFonts w:hint="eastAsia" w:ascii="宋体" w:hAnsi="宋体" w:cs="宋体"/>
          <w:bCs/>
          <w:color w:val="auto"/>
          <w:sz w:val="24"/>
          <w:szCs w:val="24"/>
          <w:highlight w:val="none"/>
          <w:lang w:val="en-US" w:eastAsia="zh-CN"/>
        </w:rPr>
        <w:t>运行</w:t>
      </w:r>
      <w:r>
        <w:rPr>
          <w:rFonts w:hint="eastAsia" w:ascii="宋体" w:hAnsi="宋体" w:eastAsia="宋体" w:cs="宋体"/>
          <w:bCs/>
          <w:color w:val="auto"/>
          <w:sz w:val="24"/>
          <w:szCs w:val="24"/>
          <w:highlight w:val="none"/>
          <w:lang w:eastAsia="zh-CN"/>
        </w:rPr>
        <w:t>模式：</w:t>
      </w:r>
      <w:r>
        <w:rPr>
          <w:rFonts w:hint="eastAsia" w:ascii="宋体" w:hAnsi="宋体" w:cs="仿宋_GB2312"/>
          <w:color w:val="auto"/>
          <w:sz w:val="24"/>
          <w:szCs w:val="24"/>
          <w:highlight w:val="none"/>
        </w:rPr>
        <w:t>采用包工管理和自行采购分离的餐饮运行管理模式。其中：采购人负责食品原材料采购、核价及成本核算和餐费收取；中标人提供服务人员及技术服务，负责菜单制定、菜点制作、</w:t>
      </w:r>
      <w:r>
        <w:rPr>
          <w:rFonts w:hint="eastAsia" w:ascii="宋体" w:hAnsi="宋体" w:cs="仿宋_GB2312"/>
          <w:bCs/>
          <w:color w:val="auto"/>
          <w:sz w:val="24"/>
          <w:szCs w:val="24"/>
          <w:highlight w:val="none"/>
        </w:rPr>
        <w:t>售卖、餐饮工艺流程实施管理、餐厅厨房保洁、餐厅安全管理以及“文华路后勤”菜品上新制作售卖、电子宣传屏的投屏播放等</w:t>
      </w:r>
      <w:r>
        <w:rPr>
          <w:rFonts w:hint="eastAsia" w:ascii="宋体" w:hAnsi="宋体"/>
          <w:color w:val="auto"/>
          <w:sz w:val="24"/>
          <w:szCs w:val="24"/>
          <w:highlight w:val="none"/>
        </w:rPr>
        <w:t>。</w:t>
      </w:r>
    </w:p>
    <w:p w14:paraId="3EDBC91B">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lang w:val="en-US" w:eastAsia="zh-CN"/>
        </w:rPr>
        <w:t>3</w:t>
      </w:r>
      <w:r>
        <w:rPr>
          <w:rFonts w:hint="eastAsia" w:ascii="宋体" w:hAnsi="宋体" w:cs="仿宋_GB2312"/>
          <w:bCs/>
          <w:color w:val="auto"/>
          <w:sz w:val="24"/>
          <w:szCs w:val="24"/>
          <w:highlight w:val="none"/>
        </w:rPr>
        <w:t>.1 提前一周上报周菜单，需经监管人审核同意后执行。</w:t>
      </w:r>
    </w:p>
    <w:p w14:paraId="72B99D21">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lang w:val="en-US" w:eastAsia="zh-CN"/>
        </w:rPr>
        <w:t>3</w:t>
      </w:r>
      <w:r>
        <w:rPr>
          <w:rFonts w:hint="eastAsia" w:ascii="宋体" w:hAnsi="宋体" w:cs="仿宋_GB2312"/>
          <w:bCs/>
          <w:color w:val="auto"/>
          <w:sz w:val="24"/>
          <w:szCs w:val="24"/>
          <w:highlight w:val="none"/>
        </w:rPr>
        <w:t>.2餐厅所有人员必须持《食品安全健康证》上岗。</w:t>
      </w:r>
    </w:p>
    <w:p w14:paraId="2B9363C9">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lang w:val="en-US" w:eastAsia="zh-CN"/>
        </w:rPr>
        <w:t>3</w:t>
      </w:r>
      <w:r>
        <w:rPr>
          <w:rFonts w:hint="eastAsia" w:ascii="宋体" w:hAnsi="宋体" w:cs="仿宋_GB2312"/>
          <w:bCs/>
          <w:color w:val="auto"/>
          <w:sz w:val="24"/>
          <w:szCs w:val="24"/>
          <w:highlight w:val="none"/>
        </w:rPr>
        <w:t>.3必须严格执行《食品安全法》等规定，确保饭菜不变质、变味。因管理、工艺流程不到位，引起病源性传播或食物中毒，中标人承担相应的法律和经济责任。</w:t>
      </w:r>
    </w:p>
    <w:p w14:paraId="0B84979C">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lang w:val="en-US" w:eastAsia="zh-CN"/>
        </w:rPr>
        <w:t>3</w:t>
      </w:r>
      <w:r>
        <w:rPr>
          <w:rFonts w:hint="eastAsia" w:ascii="宋体" w:hAnsi="宋体" w:cs="仿宋_GB2312"/>
          <w:bCs/>
          <w:color w:val="auto"/>
          <w:sz w:val="24"/>
          <w:szCs w:val="24"/>
          <w:highlight w:val="none"/>
        </w:rPr>
        <w:t>.4健全餐厅逐日消耗制度、食品留样制度、索证登记制度，并认真做好成本核算和膳食管理。</w:t>
      </w:r>
    </w:p>
    <w:p w14:paraId="5F98E68C">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lang w:val="en-US" w:eastAsia="zh-CN"/>
        </w:rPr>
        <w:t>3</w:t>
      </w:r>
      <w:r>
        <w:rPr>
          <w:rFonts w:hint="eastAsia" w:ascii="宋体" w:hAnsi="宋体" w:cs="仿宋_GB2312"/>
          <w:bCs/>
          <w:color w:val="auto"/>
          <w:sz w:val="24"/>
          <w:szCs w:val="24"/>
          <w:highlight w:val="none"/>
        </w:rPr>
        <w:t>.5对在各级检查部门检查中发现的问题，采购方以书面形式向中标方下达整改通知。服务对象投诉经核实责令限期整改，如整改不及时、成效不明显的，根据情节对中标人每次处以5000～10000元违约罚款。</w:t>
      </w:r>
    </w:p>
    <w:p w14:paraId="1641B1B8">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lang w:val="en-US" w:eastAsia="zh-CN"/>
        </w:rPr>
        <w:t>3</w:t>
      </w:r>
      <w:r>
        <w:rPr>
          <w:rFonts w:hint="eastAsia" w:ascii="宋体" w:hAnsi="宋体" w:cs="仿宋_GB2312"/>
          <w:bCs/>
          <w:color w:val="auto"/>
          <w:sz w:val="24"/>
          <w:szCs w:val="24"/>
          <w:highlight w:val="none"/>
        </w:rPr>
        <w:t>.6中标方每月负责餐饮服务的成本核算，负责厨余设备操作和垃圾回收。负责泔水、废油定点处理，同时负责维护餐厅就餐秩序，主动接受采购方和监督部门对餐厅食品安全检查。</w:t>
      </w:r>
    </w:p>
    <w:p w14:paraId="0F25ABD0">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lang w:val="en-US" w:eastAsia="zh-CN"/>
        </w:rPr>
        <w:t>3</w:t>
      </w:r>
      <w:r>
        <w:rPr>
          <w:rFonts w:hint="eastAsia" w:ascii="宋体" w:hAnsi="宋体" w:cs="仿宋_GB2312"/>
          <w:bCs/>
          <w:color w:val="auto"/>
          <w:sz w:val="24"/>
          <w:szCs w:val="24"/>
          <w:highlight w:val="none"/>
        </w:rPr>
        <w:t>.7中标人负责餐饮区域的控虫消杀和日常保洁工作，保持地面清洁、工作场所整洁、餐具用品卫生等，确保餐厨房无蝇、无虫。采购方邀请第三方对中标人的餐具、菜肴进行检测，在检测中有不合格餐具或菜肴，采购方按情节每次处以500～2000元罚款。</w:t>
      </w:r>
    </w:p>
    <w:p w14:paraId="0DAD64FB">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lang w:val="en-US" w:eastAsia="zh-CN"/>
        </w:rPr>
        <w:t>3</w:t>
      </w:r>
      <w:r>
        <w:rPr>
          <w:rFonts w:hint="eastAsia" w:ascii="宋体" w:hAnsi="宋体" w:cs="仿宋_GB2312"/>
          <w:bCs/>
          <w:color w:val="auto"/>
          <w:sz w:val="24"/>
          <w:szCs w:val="24"/>
          <w:highlight w:val="none"/>
        </w:rPr>
        <w:t>.8设置安全员1名，建立健全安全管理台帐及应急预案，负责餐厅食品安全、环境卫生、水、电、气、设备等安全检查，做好安全隐患或突发事件的应急处置工作，定期公示餐厅食品安全管理信息。</w:t>
      </w:r>
    </w:p>
    <w:p w14:paraId="5A8703E0">
      <w:pPr>
        <w:spacing w:line="360" w:lineRule="auto"/>
        <w:ind w:firstLine="480"/>
        <w:rPr>
          <w:rFonts w:hint="eastAsia" w:ascii="宋体" w:hAnsi="宋体"/>
          <w:color w:val="auto"/>
          <w:sz w:val="24"/>
          <w:szCs w:val="24"/>
          <w:highlight w:val="none"/>
        </w:rPr>
      </w:pPr>
      <w:r>
        <w:rPr>
          <w:rFonts w:hint="eastAsia" w:ascii="宋体" w:hAnsi="宋体" w:cs="仿宋_GB2312"/>
          <w:bCs/>
          <w:color w:val="auto"/>
          <w:sz w:val="24"/>
          <w:szCs w:val="24"/>
          <w:highlight w:val="none"/>
          <w:lang w:val="en-US" w:eastAsia="zh-CN"/>
        </w:rPr>
        <w:t>3</w:t>
      </w:r>
      <w:r>
        <w:rPr>
          <w:rFonts w:hint="eastAsia" w:ascii="宋体" w:hAnsi="宋体" w:cs="仿宋_GB2312"/>
          <w:bCs/>
          <w:color w:val="auto"/>
          <w:sz w:val="24"/>
          <w:szCs w:val="24"/>
          <w:highlight w:val="none"/>
        </w:rPr>
        <w:t>.9</w:t>
      </w:r>
      <w:r>
        <w:rPr>
          <w:rFonts w:hint="eastAsia" w:ascii="宋体" w:hAnsi="宋体"/>
          <w:color w:val="auto"/>
          <w:sz w:val="24"/>
          <w:szCs w:val="24"/>
          <w:highlight w:val="none"/>
        </w:rPr>
        <w:t>关于餐厅安全保障方面，每日做到工完即将所辖区域内水、电、气阀关闭，保障人员离开餐厅前关闭门窗；做好极端气候的应急预案落实相应管控措施；摄像头必须保持监控状态，不得遮掩。</w:t>
      </w:r>
    </w:p>
    <w:p w14:paraId="070AF942">
      <w:pPr>
        <w:spacing w:line="440" w:lineRule="exact"/>
        <w:ind w:firstLine="480"/>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.餐饮销售方式</w:t>
      </w:r>
      <w:r>
        <w:rPr>
          <w:rFonts w:hint="eastAsia" w:ascii="宋体" w:hAnsi="宋体"/>
          <w:color w:val="auto"/>
          <w:sz w:val="24"/>
          <w:szCs w:val="24"/>
          <w:highlight w:val="none"/>
          <w:lang w:eastAsia="zh-CN"/>
        </w:rPr>
        <w:t>：</w:t>
      </w:r>
    </w:p>
    <w:p w14:paraId="0D9C9474">
      <w:pPr>
        <w:spacing w:line="440" w:lineRule="exact"/>
        <w:ind w:firstLine="480"/>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通常情况下，餐厅早餐餐线采用零点销售；中餐开设2条餐线售餐通道，采用自选式套餐销售。售卖对象为综合楼工作人员及服务保障人员，采取刷卡和餐券售餐。</w:t>
      </w:r>
    </w:p>
    <w:p w14:paraId="7F71BA26">
      <w:pPr>
        <w:spacing w:line="440" w:lineRule="exact"/>
        <w:ind w:firstLine="480"/>
        <w:rPr>
          <w:rFonts w:ascii="宋体" w:hAnsi="宋体"/>
          <w:color w:val="auto"/>
          <w:sz w:val="24"/>
          <w:szCs w:val="24"/>
          <w:highlight w:val="none"/>
        </w:rPr>
      </w:pP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lang w:eastAsia="zh-CN"/>
        </w:rPr>
        <w:t>.</w:t>
      </w:r>
      <w:r>
        <w:rPr>
          <w:rFonts w:hint="eastAsia" w:ascii="宋体" w:hAnsi="宋体"/>
          <w:color w:val="auto"/>
          <w:sz w:val="24"/>
          <w:szCs w:val="24"/>
          <w:highlight w:val="none"/>
        </w:rPr>
        <w:t>餐饮供应要求：</w:t>
      </w:r>
    </w:p>
    <w:p w14:paraId="12A2315C">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s="仿宋_GB2312"/>
          <w:color w:val="auto"/>
          <w:sz w:val="24"/>
          <w:szCs w:val="24"/>
          <w:highlight w:val="none"/>
        </w:rPr>
        <w:t>按照</w:t>
      </w:r>
      <w:r>
        <w:rPr>
          <w:rFonts w:hint="eastAsia" w:ascii="宋体" w:hAnsi="宋体" w:cs="仿宋_GB2312"/>
          <w:color w:val="auto"/>
          <w:sz w:val="24"/>
          <w:szCs w:val="24"/>
          <w:highlight w:val="none"/>
        </w:rPr>
        <w:t>采购人要求</w:t>
      </w:r>
      <w:r>
        <w:rPr>
          <w:rFonts w:ascii="宋体" w:hAnsi="宋体" w:cs="仿宋_GB2312"/>
          <w:color w:val="auto"/>
          <w:sz w:val="24"/>
          <w:szCs w:val="24"/>
          <w:highlight w:val="none"/>
        </w:rPr>
        <w:t>餐标配置</w:t>
      </w:r>
    </w:p>
    <w:p w14:paraId="5EED5E4C">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（2）严格按预审菜单保障，显示菜单必须与实际供应一致，更换菜品前必须经采购人同意。</w:t>
      </w:r>
    </w:p>
    <w:p w14:paraId="4B189493">
      <w:pPr>
        <w:spacing w:line="44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（3）餐厅设自取餐区、面食档、特色档、季节性特色保障等管理。</w:t>
      </w:r>
    </w:p>
    <w:p w14:paraId="32961C4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（4）餐厅每日</w:t>
      </w:r>
      <w:r>
        <w:rPr>
          <w:rFonts w:hint="eastAsia" w:ascii="宋体" w:hAnsi="宋体" w:cs="仿宋_GB2312"/>
          <w:color w:val="auto"/>
          <w:sz w:val="24"/>
          <w:szCs w:val="24"/>
          <w:highlight w:val="none"/>
        </w:rPr>
        <w:t>早餐供应（</w:t>
      </w:r>
      <w:r>
        <w:rPr>
          <w:rFonts w:ascii="宋体" w:hAnsi="宋体" w:cs="仿宋_GB2312"/>
          <w:color w:val="auto"/>
          <w:sz w:val="24"/>
          <w:szCs w:val="24"/>
          <w:highlight w:val="none"/>
        </w:rPr>
        <w:t>1</w:t>
      </w:r>
      <w:r>
        <w:rPr>
          <w:rFonts w:hint="eastAsia" w:ascii="宋体" w:hAnsi="宋体" w:cs="仿宋_GB2312"/>
          <w:color w:val="auto"/>
          <w:sz w:val="24"/>
          <w:szCs w:val="24"/>
          <w:highlight w:val="none"/>
        </w:rPr>
        <w:t>道白粥+</w:t>
      </w:r>
      <w:r>
        <w:rPr>
          <w:rFonts w:ascii="宋体" w:hAnsi="宋体" w:cs="仿宋_GB2312"/>
          <w:color w:val="auto"/>
          <w:sz w:val="24"/>
          <w:szCs w:val="24"/>
          <w:highlight w:val="none"/>
        </w:rPr>
        <w:t>1</w:t>
      </w:r>
      <w:r>
        <w:rPr>
          <w:rFonts w:hint="eastAsia" w:ascii="宋体" w:hAnsi="宋体" w:cs="仿宋_GB2312"/>
          <w:color w:val="auto"/>
          <w:sz w:val="24"/>
          <w:szCs w:val="24"/>
          <w:highlight w:val="none"/>
        </w:rPr>
        <w:t>道杂粮粥+1道饮品+2道蛋品+5道粥菜+3道中点+1道西点及早面和馄饨）；午餐套餐（</w:t>
      </w:r>
      <w:r>
        <w:rPr>
          <w:rFonts w:ascii="宋体" w:hAnsi="宋体" w:cs="仿宋_GB2312"/>
          <w:color w:val="auto"/>
          <w:sz w:val="24"/>
          <w:szCs w:val="24"/>
          <w:highlight w:val="none"/>
        </w:rPr>
        <w:t>2</w:t>
      </w:r>
      <w:r>
        <w:rPr>
          <w:rFonts w:hint="eastAsia" w:ascii="宋体" w:hAnsi="宋体" w:cs="仿宋_GB2312"/>
          <w:color w:val="auto"/>
          <w:sz w:val="24"/>
          <w:szCs w:val="24"/>
          <w:highlight w:val="none"/>
        </w:rPr>
        <w:t>大荤、2</w:t>
      </w:r>
      <w:r>
        <w:rPr>
          <w:rFonts w:ascii="宋体" w:hAnsi="宋体" w:cs="仿宋_GB2312"/>
          <w:color w:val="auto"/>
          <w:sz w:val="24"/>
          <w:szCs w:val="24"/>
          <w:highlight w:val="none"/>
        </w:rPr>
        <w:t>小荤、2蔬菜、1例汤、1米饭、</w:t>
      </w:r>
      <w:r>
        <w:rPr>
          <w:rFonts w:hint="eastAsia" w:ascii="宋体" w:hAnsi="宋体" w:cs="仿宋_GB2312"/>
          <w:color w:val="auto"/>
          <w:sz w:val="24"/>
          <w:szCs w:val="24"/>
          <w:highlight w:val="none"/>
        </w:rPr>
        <w:t>1杂粮、</w:t>
      </w:r>
      <w:r>
        <w:rPr>
          <w:rFonts w:ascii="宋体" w:hAnsi="宋体" w:cs="仿宋_GB2312"/>
          <w:color w:val="auto"/>
          <w:sz w:val="24"/>
          <w:szCs w:val="24"/>
          <w:highlight w:val="none"/>
        </w:rPr>
        <w:t>1</w:t>
      </w:r>
      <w:r>
        <w:rPr>
          <w:rFonts w:hint="eastAsia" w:ascii="宋体" w:hAnsi="宋体" w:cs="仿宋_GB2312"/>
          <w:color w:val="auto"/>
          <w:sz w:val="24"/>
          <w:szCs w:val="24"/>
          <w:highlight w:val="none"/>
        </w:rPr>
        <w:t>酸奶或水果</w:t>
      </w:r>
      <w:r>
        <w:rPr>
          <w:rFonts w:ascii="宋体" w:hAnsi="宋体" w:cs="仿宋_GB2312"/>
          <w:color w:val="auto"/>
          <w:sz w:val="24"/>
          <w:szCs w:val="24"/>
          <w:highlight w:val="none"/>
        </w:rPr>
        <w:t>）</w:t>
      </w:r>
      <w:r>
        <w:rPr>
          <w:rFonts w:hint="eastAsia" w:ascii="宋体" w:hAnsi="宋体" w:cs="仿宋_GB2312"/>
          <w:color w:val="auto"/>
          <w:sz w:val="24"/>
          <w:szCs w:val="24"/>
          <w:highlight w:val="none"/>
        </w:rPr>
        <w:t>；午餐特色餐（以中西式风味为主的特色料理，包括面档、馄饨、饺子、骨头粉丝煲、酸辣粉等特色餐）。</w:t>
      </w:r>
    </w:p>
    <w:p w14:paraId="0B935EA0">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（5）每周提供一次大特色餐，如馄饨、水饺、面条、菜饭等。每日提供一次小特色餐，如炒饭、粥、甜汤等。传统节日需配合完成</w:t>
      </w:r>
      <w:r>
        <w:rPr>
          <w:rFonts w:hint="eastAsia"/>
          <w:color w:val="auto"/>
          <w:highlight w:val="none"/>
        </w:rPr>
        <w:t>节日蛋</w:t>
      </w:r>
      <w:r>
        <w:rPr>
          <w:rFonts w:hint="eastAsia" w:ascii="宋体" w:hAnsi="宋体" w:cs="仿宋_GB2312"/>
          <w:bCs/>
          <w:color w:val="auto"/>
          <w:sz w:val="24"/>
          <w:szCs w:val="24"/>
          <w:highlight w:val="none"/>
        </w:rPr>
        <w:t>糕、点心的制作供应。如遇夏季高温，按需供应消暑饮食，如绿豆汤等。</w:t>
      </w:r>
    </w:p>
    <w:p w14:paraId="39BB7DB8">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（6）做好文华路后勤餐饮服务，包括但不限于特色餐、搭伙单位部分打包服务、病号餐、点心外卖等品种图片拍摄、系统上新、制作售卖等。</w:t>
      </w:r>
    </w:p>
    <w:p w14:paraId="793D917E">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（7）美食周、节日活动等特色餐饮必须有方案，提前做好电子屏、现场氛围营造、现场布置、各类提示牌等宣传工作。</w:t>
      </w:r>
    </w:p>
    <w:p w14:paraId="10C57EBF">
      <w:pPr>
        <w:pStyle w:val="235"/>
        <w:spacing w:line="360" w:lineRule="auto"/>
        <w:ind w:firstLine="480" w:firstLineChars="200"/>
        <w:rPr>
          <w:rFonts w:hint="eastAsia" w:ascii="宋体" w:hAnsi="宋体"/>
          <w:color w:val="auto"/>
          <w:sz w:val="24"/>
          <w:szCs w:val="24"/>
          <w:highlight w:val="none"/>
          <w:lang w:eastAsia="zh-CN"/>
        </w:rPr>
      </w:pPr>
      <w:r>
        <w:rPr>
          <w:rFonts w:hint="eastAsia" w:ascii="宋体" w:hAnsi="宋体" w:cs="仿宋_GB2312"/>
          <w:bCs/>
          <w:color w:val="auto"/>
          <w:sz w:val="24"/>
          <w:szCs w:val="24"/>
          <w:highlight w:val="none"/>
        </w:rPr>
        <w:t>（8）构建双方预防机制，建立动态完善安全风险等级管控和隐患排查治理双重预防机制，在显著位置张贴风险辨识及管控“四色图”告知点位风险和管控措施。</w:t>
      </w:r>
    </w:p>
    <w:p w14:paraId="312C5D10">
      <w:pPr>
        <w:numPr>
          <w:ilvl w:val="0"/>
          <w:numId w:val="0"/>
        </w:num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餐厅需维修、维护和添置设备（设施）由中标单位书面上报，中标单位负责单次300元以下（含300元）维修材料及人工费用；如因中标单位操作不当损坏设备设施影响用餐，维修费、误餐费由中标单位承担。</w:t>
      </w:r>
    </w:p>
    <w:p w14:paraId="5A9EFB53">
      <w:pPr>
        <w:numPr>
          <w:ilvl w:val="0"/>
          <w:numId w:val="0"/>
        </w:numPr>
        <w:spacing w:line="360" w:lineRule="auto"/>
        <w:ind w:firstLine="480"/>
        <w:rPr>
          <w:rFonts w:hint="eastAsia" w:ascii="宋体" w:hAnsi="宋体" w:eastAsia="宋体"/>
          <w:color w:val="auto"/>
          <w:sz w:val="24"/>
          <w:szCs w:val="24"/>
          <w:highlight w:val="none"/>
          <w:lang w:eastAsia="zh-CN"/>
        </w:rPr>
      </w:pPr>
      <w:r>
        <w:rPr>
          <w:rFonts w:hint="eastAsia" w:ascii="宋体" w:hAnsi="宋体" w:cs="仿宋_GB2312"/>
          <w:color w:val="auto"/>
          <w:sz w:val="24"/>
          <w:szCs w:val="24"/>
          <w:highlight w:val="none"/>
          <w:lang w:val="en-US" w:eastAsia="zh-CN"/>
        </w:rPr>
        <w:t>7.</w:t>
      </w:r>
      <w:r>
        <w:rPr>
          <w:rFonts w:hint="eastAsia" w:ascii="宋体" w:hAnsi="宋体" w:cs="仿宋_GB2312"/>
          <w:color w:val="auto"/>
          <w:sz w:val="24"/>
          <w:szCs w:val="24"/>
          <w:highlight w:val="none"/>
        </w:rPr>
        <w:t>餐厅内所需的低值易耗用品如消毒（75%酒精消毒液、84消毒液）、洗涤（玻璃水、洗洁精、洗衣粉、碱粉）、保洁（扫把、簸箕、垃圾袋、百洁布）、手套、口罩等用品由中标单位自行承担（洗碗机的洗碗液除外）。其中消毒、洗涤液品牌、成份需经</w:t>
      </w:r>
      <w:r>
        <w:rPr>
          <w:rFonts w:hint="eastAsia" w:ascii="宋体" w:hAnsi="宋体" w:cs="仿宋_GB2312"/>
          <w:color w:val="auto"/>
          <w:sz w:val="24"/>
          <w:szCs w:val="24"/>
          <w:highlight w:val="none"/>
          <w:lang w:val="en-US" w:eastAsia="zh-CN"/>
        </w:rPr>
        <w:t>甲方</w:t>
      </w:r>
      <w:r>
        <w:rPr>
          <w:rFonts w:hint="eastAsia" w:ascii="宋体" w:hAnsi="宋体" w:cs="仿宋_GB2312"/>
          <w:color w:val="auto"/>
          <w:sz w:val="24"/>
          <w:szCs w:val="24"/>
          <w:highlight w:val="none"/>
        </w:rPr>
        <w:t>同意方可使用。</w:t>
      </w:r>
      <w:r>
        <w:rPr>
          <w:rFonts w:hint="eastAsia" w:ascii="宋体" w:hAnsi="宋体"/>
          <w:color w:val="auto"/>
          <w:sz w:val="24"/>
          <w:szCs w:val="24"/>
          <w:highlight w:val="none"/>
        </w:rPr>
        <w:t>采购人对所供厨杂用品允许每年有低于5%（含5%）的合理损耗，超出部分的损耗由中标单位承担并及时补齐</w:t>
      </w:r>
      <w:r>
        <w:rPr>
          <w:rFonts w:hint="eastAsia" w:ascii="宋体" w:hAnsi="宋体"/>
          <w:color w:val="auto"/>
          <w:sz w:val="24"/>
          <w:szCs w:val="24"/>
          <w:highlight w:val="none"/>
          <w:lang w:eastAsia="zh-CN"/>
        </w:rPr>
        <w:t>。</w:t>
      </w:r>
    </w:p>
    <w:p w14:paraId="0047AAD3">
      <w:pPr>
        <w:numPr>
          <w:ilvl w:val="0"/>
          <w:numId w:val="0"/>
        </w:num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乙方保证每天准时向甲方职工供应优质的早餐、工作午餐以及外来人员工作餐，乙方每周四必须按采购单所提供的用餐人数、标准、菜肴品种、规格等方面的要求向甲方上报下周菜谱，经甲方审核同意后对食品原材料的用量进行下单，乙方必须保证餐厅每月收支平衡。乙方每月需要有特色菜，调整餐饮菜品</w:t>
      </w:r>
      <w:r>
        <w:rPr>
          <w:rFonts w:hint="eastAsia" w:ascii="宋体" w:hAnsi="宋体" w:cs="宋体"/>
          <w:color w:val="auto"/>
          <w:sz w:val="24"/>
          <w:highlight w:val="none"/>
          <w:lang w:val="en-US" w:eastAsia="zh-CN"/>
        </w:rPr>
        <w:t>品种</w:t>
      </w:r>
      <w:r>
        <w:rPr>
          <w:rFonts w:hint="eastAsia" w:ascii="宋体" w:hAnsi="宋体" w:cs="宋体"/>
          <w:color w:val="auto"/>
          <w:sz w:val="24"/>
          <w:highlight w:val="none"/>
        </w:rPr>
        <w:t>，改善营养</w:t>
      </w:r>
      <w:r>
        <w:rPr>
          <w:rFonts w:hint="eastAsia" w:ascii="宋体" w:hAnsi="宋体" w:cs="宋体"/>
          <w:color w:val="auto"/>
          <w:sz w:val="24"/>
          <w:highlight w:val="none"/>
          <w:lang w:val="en-US" w:eastAsia="zh-CN"/>
        </w:rPr>
        <w:t>均衡</w:t>
      </w:r>
      <w:r>
        <w:rPr>
          <w:rFonts w:hint="eastAsia" w:ascii="宋体" w:hAnsi="宋体" w:cs="宋体"/>
          <w:color w:val="auto"/>
          <w:sz w:val="24"/>
          <w:highlight w:val="none"/>
        </w:rPr>
        <w:t>结构。未经甲方许可，乙方不能对外经营</w:t>
      </w:r>
      <w:r>
        <w:rPr>
          <w:rFonts w:hint="eastAsia" w:ascii="宋体" w:hAnsi="宋体" w:cs="宋体"/>
          <w:color w:val="auto"/>
          <w:sz w:val="24"/>
          <w:highlight w:val="none"/>
          <w:lang w:val="en-US" w:eastAsia="zh-CN"/>
        </w:rPr>
        <w:t>服务</w:t>
      </w:r>
      <w:r>
        <w:rPr>
          <w:rFonts w:hint="eastAsia" w:ascii="宋体" w:hAnsi="宋体" w:cs="宋体"/>
          <w:color w:val="auto"/>
          <w:sz w:val="24"/>
          <w:highlight w:val="none"/>
        </w:rPr>
        <w:t>。</w:t>
      </w:r>
    </w:p>
    <w:p w14:paraId="3A28060E">
      <w:pPr>
        <w:spacing w:line="360" w:lineRule="auto"/>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9.</w:t>
      </w:r>
      <w:r>
        <w:rPr>
          <w:rFonts w:hint="eastAsia" w:ascii="宋体" w:hAnsi="宋体"/>
          <w:color w:val="auto"/>
          <w:sz w:val="24"/>
          <w:szCs w:val="24"/>
          <w:highlight w:val="none"/>
        </w:rPr>
        <w:t>厉行节约、反对浪费，严格落实成本核算制度、制定食谱制度，控制好运行成本。完善各类台账，做好规范化管理，制度上墙，制定各岗位职责。</w:t>
      </w:r>
      <w:r>
        <w:rPr>
          <w:rFonts w:hint="eastAsia" w:ascii="宋体" w:hAnsi="宋体" w:cs="仿宋_GB2312"/>
          <w:bCs/>
          <w:color w:val="auto"/>
          <w:sz w:val="24"/>
          <w:szCs w:val="24"/>
          <w:highlight w:val="none"/>
        </w:rPr>
        <w:t>落实国有资产层级管理，中标单位明确资产管理员1名，负责采购人移交国有资产的日常管理工作。防止资产流失或浪费，未经采购人同意，严禁随意处置资产</w:t>
      </w:r>
      <w:r>
        <w:rPr>
          <w:rFonts w:hint="eastAsia" w:ascii="宋体" w:hAnsi="宋体" w:cs="仿宋_GB2312"/>
          <w:bCs/>
          <w:color w:val="auto"/>
          <w:sz w:val="24"/>
          <w:szCs w:val="24"/>
          <w:highlight w:val="none"/>
          <w:lang w:eastAsia="zh-CN"/>
        </w:rPr>
        <w:t>。</w:t>
      </w:r>
    </w:p>
    <w:p w14:paraId="3AB08B1F">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（三）</w:t>
      </w:r>
      <w:r>
        <w:rPr>
          <w:rFonts w:hint="eastAsia" w:ascii="宋体" w:hAnsi="宋体" w:cs="宋体"/>
          <w:color w:val="auto"/>
          <w:sz w:val="24"/>
          <w:highlight w:val="none"/>
          <w:lang w:val="en-US" w:eastAsia="zh-CN"/>
        </w:rPr>
        <w:t>费用和</w:t>
      </w:r>
      <w:r>
        <w:rPr>
          <w:rFonts w:hint="eastAsia" w:ascii="宋体" w:hAnsi="宋体" w:cs="宋体"/>
          <w:color w:val="auto"/>
          <w:sz w:val="24"/>
          <w:highlight w:val="none"/>
        </w:rPr>
        <w:t>结算方式</w:t>
      </w:r>
    </w:p>
    <w:p w14:paraId="1A86C250">
      <w:pPr>
        <w:pStyle w:val="236"/>
        <w:spacing w:line="360" w:lineRule="auto"/>
        <w:rPr>
          <w:rFonts w:ascii="宋体" w:hAnsi="宋体"/>
          <w:color w:val="auto"/>
          <w:sz w:val="24"/>
          <w:highlight w:val="none"/>
        </w:rPr>
      </w:pPr>
      <w:r>
        <w:rPr>
          <w:rFonts w:hint="eastAsia" w:ascii="宋体" w:hAnsi="宋体"/>
          <w:color w:val="auto"/>
          <w:sz w:val="24"/>
          <w:highlight w:val="none"/>
        </w:rPr>
        <w:t>成交后，按双方签订合同条款经采购单位每月考核合格后，</w:t>
      </w:r>
      <w:r>
        <w:rPr>
          <w:rFonts w:hint="eastAsia" w:ascii="宋体" w:hAnsi="宋体"/>
          <w:color w:val="auto"/>
          <w:sz w:val="24"/>
          <w:highlight w:val="none"/>
          <w:lang w:eastAsia="zh-CN"/>
        </w:rPr>
        <w:t>乙方应当于每月的月底出具当月管理费发票，甲方最晚应当于次月的15日前按月付款。</w:t>
      </w:r>
      <w:r>
        <w:rPr>
          <w:rFonts w:hint="eastAsia" w:ascii="宋体" w:hAnsi="宋体"/>
          <w:color w:val="auto"/>
          <w:sz w:val="24"/>
          <w:highlight w:val="none"/>
        </w:rPr>
        <w:t>连续三个月考核不合格者（考核得分低于</w:t>
      </w:r>
      <w:r>
        <w:rPr>
          <w:rFonts w:hint="eastAsia" w:ascii="宋体" w:hAnsi="宋体"/>
          <w:color w:val="auto"/>
          <w:sz w:val="24"/>
          <w:highlight w:val="none"/>
          <w:lang w:val="en-US" w:eastAsia="zh-CN"/>
        </w:rPr>
        <w:t>6</w:t>
      </w:r>
      <w:r>
        <w:rPr>
          <w:rFonts w:hint="eastAsia" w:ascii="宋体" w:hAnsi="宋体"/>
          <w:color w:val="auto"/>
          <w:sz w:val="24"/>
          <w:highlight w:val="none"/>
        </w:rPr>
        <w:t>0分）或管理服务中发生重大失误的，采购方</w:t>
      </w:r>
      <w:r>
        <w:rPr>
          <w:rFonts w:hint="eastAsia" w:ascii="宋体" w:hAnsi="宋体"/>
          <w:bCs/>
          <w:color w:val="auto"/>
          <w:sz w:val="24"/>
          <w:szCs w:val="24"/>
          <w:highlight w:val="none"/>
        </w:rPr>
        <w:t>有权单方面解除合同，并且采购方不承担违约责任，中标单位不得索赔。</w:t>
      </w:r>
    </w:p>
    <w:p w14:paraId="6B97D80A">
      <w:pPr>
        <w:spacing w:line="360" w:lineRule="auto"/>
        <w:ind w:firstLine="480"/>
        <w:rPr>
          <w:rFonts w:hint="eastAsia" w:ascii="宋体" w:hAnsi="宋体"/>
          <w:color w:val="auto"/>
          <w:sz w:val="24"/>
          <w:highlight w:val="none"/>
          <w:lang w:eastAsia="zh-CN"/>
        </w:rPr>
      </w:pPr>
      <w:r>
        <w:rPr>
          <w:rFonts w:hint="eastAsia" w:ascii="宋体" w:hAnsi="宋体"/>
          <w:color w:val="auto"/>
          <w:sz w:val="24"/>
          <w:highlight w:val="none"/>
          <w:lang w:val="en-US" w:eastAsia="zh-CN"/>
        </w:rPr>
        <w:t>甲方</w:t>
      </w:r>
      <w:r>
        <w:rPr>
          <w:rFonts w:hint="eastAsia" w:ascii="宋体" w:hAnsi="宋体"/>
          <w:color w:val="auto"/>
          <w:sz w:val="24"/>
          <w:highlight w:val="none"/>
        </w:rPr>
        <w:t>与中标单位解除合同处理期间；在采购方后续单位到位前，中标单位必须保持不超过两个月期限的服务，期内按</w:t>
      </w:r>
      <w:r>
        <w:rPr>
          <w:rFonts w:hint="eastAsia" w:ascii="宋体" w:hAnsi="宋体"/>
          <w:color w:val="auto"/>
          <w:sz w:val="24"/>
          <w:highlight w:val="none"/>
          <w:lang w:val="en-US" w:eastAsia="zh-CN"/>
        </w:rPr>
        <w:t>甲方</w:t>
      </w:r>
      <w:r>
        <w:rPr>
          <w:rFonts w:hint="eastAsia" w:ascii="宋体" w:hAnsi="宋体"/>
          <w:color w:val="auto"/>
          <w:sz w:val="24"/>
          <w:highlight w:val="none"/>
        </w:rPr>
        <w:t>要求按时撤走人员并与新单位办理交接</w:t>
      </w:r>
      <w:r>
        <w:rPr>
          <w:rFonts w:hint="eastAsia" w:ascii="宋体" w:hAnsi="宋体"/>
          <w:color w:val="auto"/>
          <w:sz w:val="24"/>
          <w:highlight w:val="none"/>
          <w:lang w:eastAsia="zh-CN"/>
        </w:rPr>
        <w:t>。交接期间的服务费甲方按原合同价格支付给乙方。</w:t>
      </w:r>
    </w:p>
    <w:p w14:paraId="36254144">
      <w:pPr>
        <w:spacing w:line="360" w:lineRule="auto"/>
        <w:ind w:firstLine="48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服务外包费用按月支付，每月中旬,根据考核结果，支付上月服务外包费用。支付费用时须提供《人员工资清单》（以银行入账工资清单回执为准）、《社保缴纳凭证》及个人缴费明细、《考勤记录》、《监管考核意见》四张表。中标单位经日常考核同意后开具发票，发票名称必须与中标单位一致，否则甲方有权拒付。乙方未按招标要求配备现场服务人员，以及未按实缴纳社保费用的，采购人将全额扣除涉及内容费用。另因中标单位未及时提供发票的，所造成的一切损失由中标单位负责。</w:t>
      </w:r>
    </w:p>
    <w:p w14:paraId="7B3F4494">
      <w:pPr>
        <w:spacing w:line="360" w:lineRule="auto"/>
        <w:ind w:firstLine="480"/>
        <w:rPr>
          <w:rFonts w:hint="eastAsia" w:ascii="宋体" w:hAnsi="宋体"/>
          <w:color w:val="auto"/>
          <w:sz w:val="24"/>
          <w:highlight w:val="none"/>
          <w:lang w:val="en-US" w:eastAsia="zh-CN"/>
        </w:rPr>
      </w:pPr>
      <w:r>
        <w:rPr>
          <w:rFonts w:hint="eastAsia" w:ascii="宋体" w:hAnsi="宋体"/>
          <w:color w:val="auto"/>
          <w:sz w:val="24"/>
          <w:szCs w:val="24"/>
          <w:highlight w:val="none"/>
        </w:rPr>
        <w:t>服务期间，</w:t>
      </w:r>
      <w:r>
        <w:rPr>
          <w:rFonts w:hint="eastAsia" w:ascii="宋体" w:hAnsi="宋体"/>
          <w:color w:val="auto"/>
          <w:sz w:val="24"/>
          <w:szCs w:val="24"/>
          <w:highlight w:val="none"/>
          <w:lang w:val="en-US" w:eastAsia="zh-CN"/>
        </w:rPr>
        <w:t>甲方</w:t>
      </w:r>
      <w:r>
        <w:rPr>
          <w:rFonts w:hint="eastAsia" w:ascii="宋体" w:hAnsi="宋体"/>
          <w:color w:val="auto"/>
          <w:sz w:val="24"/>
          <w:szCs w:val="24"/>
          <w:highlight w:val="none"/>
        </w:rPr>
        <w:t>如需增加服务内容，中标单位必须无条件服从，并且不再另付服务费用。</w:t>
      </w:r>
    </w:p>
    <w:p w14:paraId="21EA9EE1">
      <w:pPr>
        <w:spacing w:line="360" w:lineRule="auto"/>
        <w:ind w:firstLine="480"/>
        <w:rPr>
          <w:rFonts w:hint="eastAsia" w:ascii="宋体" w:hAnsi="宋体" w:cs="宋体"/>
          <w:color w:val="auto"/>
          <w:sz w:val="24"/>
          <w:highlight w:val="none"/>
          <w:lang w:eastAsia="zh-CN"/>
        </w:rPr>
      </w:pPr>
      <w:r>
        <w:rPr>
          <w:rFonts w:hint="eastAsia" w:ascii="宋体" w:hAnsi="宋体" w:cs="宋体"/>
          <w:color w:val="auto"/>
          <w:sz w:val="24"/>
          <w:highlight w:val="none"/>
        </w:rPr>
        <w:t>（四）甲方的权利与义务</w:t>
      </w:r>
    </w:p>
    <w:p w14:paraId="52E2EE34">
      <w:pPr>
        <w:spacing w:line="360" w:lineRule="auto"/>
        <w:ind w:firstLine="480"/>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1.甲方</w:t>
      </w:r>
      <w:r>
        <w:rPr>
          <w:rFonts w:hint="eastAsia" w:ascii="宋体" w:hAnsi="宋体"/>
          <w:bCs/>
          <w:color w:val="auto"/>
          <w:sz w:val="24"/>
          <w:szCs w:val="24"/>
          <w:highlight w:val="none"/>
        </w:rPr>
        <w:t>提供食物原材料、餐厅及厨房硬件设备、餐具、厨具、炊具、餐桌椅、排风设备、排污设备、洗碗设备、能源（水、电、燃气）。</w:t>
      </w:r>
      <w:r>
        <w:rPr>
          <w:rFonts w:hint="eastAsia" w:ascii="宋体" w:hAnsi="宋体"/>
          <w:bCs/>
          <w:color w:val="auto"/>
          <w:sz w:val="24"/>
          <w:szCs w:val="24"/>
          <w:highlight w:val="none"/>
          <w:lang w:val="en-US" w:eastAsia="zh-CN"/>
        </w:rPr>
        <w:t>甲方</w:t>
      </w:r>
      <w:r>
        <w:rPr>
          <w:rFonts w:hint="eastAsia" w:ascii="宋体" w:hAnsi="宋体"/>
          <w:color w:val="auto"/>
          <w:sz w:val="24"/>
          <w:szCs w:val="24"/>
          <w:highlight w:val="none"/>
        </w:rPr>
        <w:t>负责按中标单位开具的采购食料和辅料清单审核后负责定向采购。</w:t>
      </w:r>
      <w:r>
        <w:rPr>
          <w:rFonts w:hint="eastAsia" w:ascii="宋体" w:hAnsi="宋体"/>
          <w:bCs/>
          <w:color w:val="auto"/>
          <w:sz w:val="24"/>
          <w:szCs w:val="24"/>
          <w:highlight w:val="none"/>
        </w:rPr>
        <w:t>保证工作所需的水、电、气正常供应，并对中标单位使用的水、电、</w:t>
      </w:r>
      <w:r>
        <w:rPr>
          <w:rFonts w:hint="eastAsia" w:ascii="宋体" w:hAnsi="宋体"/>
          <w:color w:val="auto"/>
          <w:sz w:val="24"/>
          <w:szCs w:val="24"/>
          <w:highlight w:val="none"/>
        </w:rPr>
        <w:t>气的进行定额管理和考核。对所供厨杂用品允许每年有低于5%（含5%）的合理损耗，超出部分的损耗由中标单位承担并及时补齐。</w:t>
      </w:r>
    </w:p>
    <w:p w14:paraId="5E9CE826">
      <w:pPr>
        <w:pStyle w:val="85"/>
        <w:spacing w:line="360" w:lineRule="auto"/>
        <w:ind w:left="0" w:leftChars="0"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甲方</w:t>
      </w:r>
      <w:r>
        <w:rPr>
          <w:rFonts w:hint="eastAsia" w:ascii="宋体" w:hAnsi="宋体" w:cs="宋体"/>
          <w:color w:val="auto"/>
          <w:sz w:val="24"/>
          <w:highlight w:val="none"/>
        </w:rPr>
        <w:t>向乙方无偿提供食堂所需的场地、现有设施和设备及餐具，免费提供乙方所需的水、电、燃气。</w:t>
      </w:r>
      <w:r>
        <w:rPr>
          <w:rFonts w:hint="eastAsia" w:ascii="宋体" w:hAnsi="宋体"/>
          <w:bCs/>
          <w:color w:val="auto"/>
          <w:sz w:val="24"/>
          <w:szCs w:val="24"/>
          <w:highlight w:val="none"/>
        </w:rPr>
        <w:t>将现有工作场所设施设备，各类物品列出清单，待中标单位进驻时，由采购人、中标单位双方办理交接手续，确认签字后各执一份。</w:t>
      </w:r>
    </w:p>
    <w:p w14:paraId="0F338C74">
      <w:pPr>
        <w:spacing w:line="360" w:lineRule="auto"/>
        <w:ind w:firstLine="480"/>
        <w:rPr>
          <w:rFonts w:ascii="宋体" w:hAnsi="宋体" w:cs="宋体"/>
          <w:color w:val="auto"/>
          <w:sz w:val="24"/>
          <w:highlight w:val="none"/>
        </w:rPr>
      </w:pPr>
      <w:r>
        <w:rPr>
          <w:rFonts w:hint="eastAsia" w:ascii="宋体" w:hAnsi="宋体" w:cs="宋体"/>
          <w:color w:val="auto"/>
          <w:sz w:val="24"/>
          <w:highlight w:val="none"/>
          <w:lang w:val="en-US" w:eastAsia="zh-CN"/>
        </w:rPr>
        <w:t>2</w:t>
      </w:r>
      <w:r>
        <w:rPr>
          <w:rFonts w:ascii="宋体" w:hAnsi="宋体" w:cs="宋体"/>
          <w:color w:val="auto"/>
          <w:sz w:val="24"/>
          <w:highlight w:val="none"/>
        </w:rPr>
        <w:t>.</w:t>
      </w:r>
      <w:r>
        <w:rPr>
          <w:rFonts w:hint="eastAsia" w:ascii="宋体" w:hAnsi="宋体" w:cs="宋体"/>
          <w:color w:val="auto"/>
          <w:sz w:val="24"/>
          <w:highlight w:val="none"/>
        </w:rPr>
        <w:t>甲方员工持卡就餐。</w:t>
      </w:r>
    </w:p>
    <w:p w14:paraId="11841FC2">
      <w:pPr>
        <w:spacing w:line="360" w:lineRule="auto"/>
        <w:ind w:firstLine="480"/>
        <w:rPr>
          <w:rFonts w:ascii="宋体" w:hAnsi="宋体" w:cs="宋体"/>
          <w:color w:val="auto"/>
          <w:sz w:val="24"/>
          <w:highlight w:val="none"/>
        </w:rPr>
      </w:pPr>
      <w:r>
        <w:rPr>
          <w:rFonts w:hint="eastAsia" w:ascii="宋体" w:hAnsi="宋体" w:cs="宋体"/>
          <w:color w:val="auto"/>
          <w:sz w:val="24"/>
          <w:highlight w:val="none"/>
          <w:lang w:val="en-US" w:eastAsia="zh-CN"/>
        </w:rPr>
        <w:t>3</w:t>
      </w:r>
      <w:r>
        <w:rPr>
          <w:rFonts w:ascii="宋体" w:hAnsi="宋体" w:cs="宋体"/>
          <w:color w:val="auto"/>
          <w:sz w:val="24"/>
          <w:highlight w:val="none"/>
        </w:rPr>
        <w:t>.</w:t>
      </w:r>
      <w:r>
        <w:rPr>
          <w:rFonts w:hint="eastAsia" w:ascii="宋体" w:hAnsi="宋体" w:cs="宋体"/>
          <w:color w:val="auto"/>
          <w:sz w:val="24"/>
          <w:highlight w:val="none"/>
        </w:rPr>
        <w:t>甲方指定专门管理人员负责与乙方进行联系、沟通，并协助乙方负责人处理相关事宜。</w:t>
      </w:r>
    </w:p>
    <w:p w14:paraId="525DB22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4</w:t>
      </w:r>
      <w:r>
        <w:rPr>
          <w:rFonts w:ascii="宋体" w:hAnsi="宋体" w:cs="宋体"/>
          <w:color w:val="auto"/>
          <w:sz w:val="24"/>
          <w:highlight w:val="none"/>
        </w:rPr>
        <w:t>.</w:t>
      </w:r>
      <w:r>
        <w:rPr>
          <w:rFonts w:hint="eastAsia" w:ascii="宋体" w:hAnsi="宋体" w:cs="宋体"/>
          <w:color w:val="auto"/>
          <w:sz w:val="24"/>
          <w:highlight w:val="none"/>
        </w:rPr>
        <w:t>甲方有权监督乙方遵守人事劳资、安全、资产管理等各规章制度。</w:t>
      </w:r>
    </w:p>
    <w:p w14:paraId="19970F50">
      <w:pPr>
        <w:spacing w:line="360" w:lineRule="auto"/>
        <w:ind w:firstLine="480"/>
        <w:rPr>
          <w:rFonts w:hint="eastAsia" w:ascii="宋体" w:hAnsi="宋体" w:eastAsia="宋体" w:cs="宋体"/>
          <w:bCs/>
          <w:color w:val="auto"/>
          <w:sz w:val="24"/>
          <w:szCs w:val="24"/>
          <w:highlight w:val="none"/>
          <w:lang w:eastAsia="zh-CN"/>
        </w:rPr>
      </w:pPr>
      <w:r>
        <w:rPr>
          <w:rFonts w:hint="eastAsia" w:ascii="宋体" w:hAnsi="宋体" w:cs="宋体"/>
          <w:color w:val="auto"/>
          <w:sz w:val="24"/>
          <w:highlight w:val="none"/>
          <w:lang w:val="en-US" w:eastAsia="zh-CN"/>
        </w:rPr>
        <w:t>5.甲方</w:t>
      </w:r>
      <w:r>
        <w:rPr>
          <w:rFonts w:hint="eastAsia" w:ascii="宋体" w:hAnsi="宋体"/>
          <w:color w:val="auto"/>
          <w:sz w:val="24"/>
          <w:szCs w:val="24"/>
          <w:highlight w:val="none"/>
        </w:rPr>
        <w:t>不承担中标单位员工在合同期间所发生的福利费、工伤、生病住院、意外伤（亡）害等费用，如有上述费用，由中标单位承担。</w:t>
      </w:r>
    </w:p>
    <w:p w14:paraId="2D7A141B">
      <w:pPr>
        <w:spacing w:line="360" w:lineRule="auto"/>
        <w:ind w:firstLine="480"/>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6.甲方</w:t>
      </w:r>
      <w:r>
        <w:rPr>
          <w:rFonts w:hint="eastAsia" w:ascii="宋体" w:hAnsi="宋体"/>
          <w:color w:val="auto"/>
          <w:sz w:val="24"/>
          <w:szCs w:val="24"/>
          <w:highlight w:val="none"/>
        </w:rPr>
        <w:t>提供中标单位员工有偿</w:t>
      </w:r>
      <w:r>
        <w:rPr>
          <w:rFonts w:hint="eastAsia" w:ascii="宋体" w:hAnsi="宋体"/>
          <w:color w:val="auto"/>
          <w:sz w:val="24"/>
          <w:szCs w:val="24"/>
          <w:highlight w:val="none"/>
          <w:lang w:val="en-US" w:eastAsia="zh-CN"/>
        </w:rPr>
        <w:t>中餐</w:t>
      </w:r>
      <w:r>
        <w:rPr>
          <w:rFonts w:hint="eastAsia" w:ascii="宋体" w:hAnsi="宋体"/>
          <w:color w:val="auto"/>
          <w:sz w:val="24"/>
          <w:szCs w:val="24"/>
          <w:highlight w:val="none"/>
        </w:rPr>
        <w:t>用餐，由中标单位</w:t>
      </w:r>
      <w:r>
        <w:rPr>
          <w:rFonts w:ascii="Segoe UI" w:hAnsi="Segoe UI" w:eastAsia="Segoe UI" w:cs="Segoe UI"/>
          <w:i w:val="0"/>
          <w:iCs w:val="0"/>
          <w:caps w:val="0"/>
          <w:color w:val="auto"/>
          <w:spacing w:val="0"/>
          <w:sz w:val="24"/>
          <w:szCs w:val="24"/>
          <w:highlight w:val="none"/>
          <w:shd w:val="clear" w:fill="FFFFFF"/>
        </w:rPr>
        <w:t>支付费用（有偿）</w:t>
      </w:r>
      <w:r>
        <w:rPr>
          <w:rFonts w:hint="eastAsia" w:ascii="宋体" w:hAnsi="宋体"/>
          <w:color w:val="auto"/>
          <w:sz w:val="24"/>
          <w:szCs w:val="24"/>
          <w:highlight w:val="none"/>
        </w:rPr>
        <w:t>。</w:t>
      </w:r>
    </w:p>
    <w:p w14:paraId="07CEF27D">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lang w:val="en-US" w:eastAsia="zh-CN"/>
        </w:rPr>
        <w:t>7.甲方</w:t>
      </w:r>
      <w:r>
        <w:rPr>
          <w:rFonts w:hint="eastAsia" w:ascii="宋体" w:hAnsi="宋体"/>
          <w:color w:val="auto"/>
          <w:sz w:val="24"/>
          <w:szCs w:val="24"/>
          <w:highlight w:val="none"/>
        </w:rPr>
        <w:t>对在检查中发现的问题，</w:t>
      </w:r>
      <w:r>
        <w:rPr>
          <w:rFonts w:hint="eastAsia" w:ascii="宋体" w:hAnsi="宋体"/>
          <w:color w:val="auto"/>
          <w:sz w:val="24"/>
          <w:szCs w:val="24"/>
          <w:highlight w:val="none"/>
          <w:lang w:val="en-US" w:eastAsia="zh-CN"/>
        </w:rPr>
        <w:t>甲方</w:t>
      </w:r>
      <w:r>
        <w:rPr>
          <w:rFonts w:hint="eastAsia" w:ascii="宋体" w:hAnsi="宋体"/>
          <w:color w:val="auto"/>
          <w:sz w:val="24"/>
          <w:szCs w:val="24"/>
          <w:highlight w:val="none"/>
        </w:rPr>
        <w:t>以书面形式向中标单位下达整改通知；对服务对象投诉，</w:t>
      </w:r>
      <w:r>
        <w:rPr>
          <w:rFonts w:hint="eastAsia" w:ascii="宋体" w:hAnsi="宋体"/>
          <w:color w:val="auto"/>
          <w:sz w:val="24"/>
          <w:szCs w:val="24"/>
          <w:highlight w:val="none"/>
          <w:lang w:val="en-US" w:eastAsia="zh-CN"/>
        </w:rPr>
        <w:t>甲方</w:t>
      </w:r>
      <w:r>
        <w:rPr>
          <w:rFonts w:hint="eastAsia" w:ascii="宋体" w:hAnsi="宋体"/>
          <w:color w:val="auto"/>
          <w:sz w:val="24"/>
          <w:szCs w:val="24"/>
          <w:highlight w:val="none"/>
        </w:rPr>
        <w:t>经核实，责令限期整改。如整改不及时、成效不明显的，</w:t>
      </w:r>
      <w:r>
        <w:rPr>
          <w:rFonts w:hint="eastAsia" w:ascii="宋体" w:hAnsi="宋体"/>
          <w:color w:val="auto"/>
          <w:sz w:val="24"/>
          <w:szCs w:val="24"/>
          <w:highlight w:val="none"/>
          <w:lang w:val="en-US" w:eastAsia="zh-CN"/>
        </w:rPr>
        <w:t>甲方</w:t>
      </w:r>
      <w:r>
        <w:rPr>
          <w:rFonts w:hint="eastAsia" w:ascii="宋体" w:hAnsi="宋体"/>
          <w:color w:val="auto"/>
          <w:sz w:val="24"/>
          <w:szCs w:val="24"/>
          <w:highlight w:val="none"/>
        </w:rPr>
        <w:t>追究中标单位违约责任，根据情节对中标单位每次处以1000-3000元违约罚款。</w:t>
      </w:r>
    </w:p>
    <w:p w14:paraId="02A3686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如中标单位对食品安全或工作出现较大失误时，</w:t>
      </w:r>
      <w:r>
        <w:rPr>
          <w:rFonts w:hint="eastAsia" w:ascii="宋体" w:hAnsi="宋体"/>
          <w:color w:val="auto"/>
          <w:sz w:val="24"/>
          <w:szCs w:val="24"/>
          <w:highlight w:val="none"/>
          <w:lang w:val="en-US" w:eastAsia="zh-CN"/>
        </w:rPr>
        <w:t>甲方</w:t>
      </w:r>
      <w:r>
        <w:rPr>
          <w:rFonts w:hint="eastAsia" w:ascii="宋体" w:hAnsi="宋体"/>
          <w:bCs/>
          <w:color w:val="auto"/>
          <w:sz w:val="24"/>
          <w:szCs w:val="24"/>
          <w:highlight w:val="none"/>
        </w:rPr>
        <w:t>有权依照法律程序解除合同，并追究中标单位的违约责任。</w:t>
      </w:r>
    </w:p>
    <w:p w14:paraId="680112C1">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lang w:val="en-US" w:eastAsia="zh-CN"/>
        </w:rPr>
        <w:t>9.甲方</w:t>
      </w:r>
      <w:r>
        <w:rPr>
          <w:rFonts w:hint="eastAsia" w:ascii="宋体" w:hAnsi="宋体"/>
          <w:color w:val="auto"/>
          <w:sz w:val="24"/>
          <w:szCs w:val="24"/>
          <w:highlight w:val="none"/>
        </w:rPr>
        <w:t>有权对中标单位每天菜品的份量、质量、品质色味进行监督、验收。</w:t>
      </w:r>
    </w:p>
    <w:p w14:paraId="209F8D36">
      <w:pPr>
        <w:pStyle w:val="14"/>
        <w:ind w:firstLine="480"/>
        <w:rPr>
          <w:rFonts w:hint="default" w:ascii="宋体" w:hAnsi="宋体" w:eastAsia="宋体" w:cs="Times New Roman"/>
          <w:bCs w:val="0"/>
          <w:color w:val="auto"/>
          <w:sz w:val="24"/>
          <w:szCs w:val="24"/>
          <w:highlight w:val="none"/>
          <w:lang w:val="en-US" w:eastAsia="zh-CN" w:bidi="ar-SA"/>
        </w:rPr>
      </w:pPr>
      <w:r>
        <w:rPr>
          <w:rFonts w:hint="eastAsia" w:ascii="宋体" w:hAnsi="宋体" w:eastAsia="宋体" w:cs="Times New Roman"/>
          <w:bCs w:val="0"/>
          <w:color w:val="auto"/>
          <w:sz w:val="24"/>
          <w:szCs w:val="24"/>
          <w:highlight w:val="none"/>
          <w:lang w:val="en-US" w:eastAsia="zh-CN" w:bidi="ar-SA"/>
        </w:rPr>
        <w:t>10.甲方在年度预算有保障的前提下，可支付未来两年的合同款项。</w:t>
      </w:r>
    </w:p>
    <w:p w14:paraId="193DC2F6">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（五）乙方的权利与义务</w:t>
      </w:r>
    </w:p>
    <w:p w14:paraId="540D127E">
      <w:pPr>
        <w:widowControl/>
        <w:tabs>
          <w:tab w:val="left" w:pos="525"/>
          <w:tab w:val="left" w:pos="630"/>
          <w:tab w:val="left" w:pos="735"/>
          <w:tab w:val="left" w:pos="1050"/>
        </w:tabs>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1</w:t>
      </w:r>
      <w:r>
        <w:rPr>
          <w:rFonts w:ascii="宋体" w:hAnsi="宋体" w:cs="宋体"/>
          <w:color w:val="auto"/>
          <w:sz w:val="24"/>
          <w:highlight w:val="none"/>
        </w:rPr>
        <w:t>.</w:t>
      </w:r>
      <w:r>
        <w:rPr>
          <w:rFonts w:hint="eastAsia" w:ascii="宋体" w:hAnsi="宋体" w:cs="仿宋_GB2312"/>
          <w:bCs/>
          <w:color w:val="auto"/>
          <w:sz w:val="24"/>
          <w:szCs w:val="24"/>
          <w:highlight w:val="none"/>
        </w:rPr>
        <w:t>采购人在项目评审结束至合同签订、履约期间，有权要求投标人出具投标文件中的相关证明材料原件，予以确认其真实性和有效性，如出现与事实不符等情况，将根据有关规定以“提供虚假材料谋取中标”予以处罚。所属人员政审不合格的，对中标单位处每人次以1000元罚款，并责令辞退</w:t>
      </w:r>
      <w:r>
        <w:rPr>
          <w:rFonts w:hint="eastAsia" w:ascii="宋体" w:hAnsi="宋体"/>
          <w:color w:val="auto"/>
          <w:sz w:val="24"/>
          <w:szCs w:val="24"/>
          <w:highlight w:val="none"/>
        </w:rPr>
        <w:t xml:space="preserve">。 </w:t>
      </w:r>
    </w:p>
    <w:p w14:paraId="53889EF1">
      <w:pPr>
        <w:spacing w:line="360" w:lineRule="auto"/>
        <w:ind w:firstLine="480"/>
        <w:rPr>
          <w:rFonts w:ascii="宋体" w:hAnsi="宋体"/>
          <w:color w:val="auto"/>
          <w:sz w:val="24"/>
          <w:szCs w:val="24"/>
          <w:highlight w:val="none"/>
        </w:rPr>
      </w:pPr>
      <w:r>
        <w:rPr>
          <w:rFonts w:hint="eastAsia" w:ascii="宋体" w:hAnsi="宋体" w:cs="宋体"/>
          <w:color w:val="auto"/>
          <w:sz w:val="24"/>
          <w:highlight w:val="none"/>
        </w:rPr>
        <w:t>2</w:t>
      </w:r>
      <w:r>
        <w:rPr>
          <w:rFonts w:ascii="宋体" w:hAnsi="宋体" w:cs="宋体"/>
          <w:color w:val="auto"/>
          <w:sz w:val="24"/>
          <w:highlight w:val="none"/>
        </w:rPr>
        <w:t>.</w:t>
      </w:r>
      <w:r>
        <w:rPr>
          <w:rFonts w:hint="eastAsia" w:ascii="宋体" w:hAnsi="宋体" w:cs="宋体"/>
          <w:color w:val="auto"/>
          <w:sz w:val="24"/>
          <w:highlight w:val="none"/>
          <w:lang w:val="en-US" w:eastAsia="zh-CN"/>
        </w:rPr>
        <w:t>中标单位的</w:t>
      </w:r>
      <w:r>
        <w:rPr>
          <w:rFonts w:hint="eastAsia" w:ascii="宋体" w:hAnsi="宋体" w:cs="仿宋_GB2312"/>
          <w:color w:val="auto"/>
          <w:sz w:val="24"/>
          <w:szCs w:val="24"/>
          <w:highlight w:val="none"/>
        </w:rPr>
        <w:t>报价</w:t>
      </w:r>
      <w:r>
        <w:rPr>
          <w:rFonts w:hint="eastAsia" w:ascii="宋体" w:hAnsi="宋体" w:cs="仿宋_GB2312"/>
          <w:bCs/>
          <w:color w:val="auto"/>
          <w:sz w:val="24"/>
          <w:szCs w:val="24"/>
          <w:highlight w:val="none"/>
        </w:rPr>
        <w:t>应须符合国家、省、市的相关规定，符合无锡市最低工资标准且必须缴纳社会保险费及公积金。主要包含以下内容：人员的工资、社保及公积金、商业保险、福利待遇以及其他各类管理费用、开票税金等</w:t>
      </w:r>
      <w:r>
        <w:rPr>
          <w:rFonts w:hint="eastAsia" w:ascii="宋体" w:hAnsi="宋体" w:cs="仿宋_GB2312"/>
          <w:color w:val="auto"/>
          <w:sz w:val="24"/>
          <w:szCs w:val="24"/>
          <w:highlight w:val="none"/>
        </w:rPr>
        <w:t>。</w:t>
      </w:r>
    </w:p>
    <w:p w14:paraId="1A287BC9">
      <w:pPr>
        <w:spacing w:line="360" w:lineRule="auto"/>
        <w:ind w:firstLine="480"/>
        <w:rPr>
          <w:rFonts w:ascii="宋体" w:hAnsi="宋体" w:cs="仿宋_GB2312"/>
          <w:color w:val="auto"/>
          <w:sz w:val="24"/>
          <w:szCs w:val="24"/>
          <w:highlight w:val="none"/>
        </w:rPr>
      </w:pPr>
      <w:r>
        <w:rPr>
          <w:rFonts w:hint="eastAsia" w:ascii="宋体" w:hAnsi="宋体" w:cs="宋体"/>
          <w:color w:val="auto"/>
          <w:sz w:val="24"/>
          <w:highlight w:val="none"/>
          <w:lang w:val="en-US" w:eastAsia="zh-CN"/>
        </w:rPr>
        <w:t>3.</w:t>
      </w:r>
      <w:r>
        <w:rPr>
          <w:rFonts w:hint="eastAsia" w:ascii="宋体" w:hAnsi="宋体" w:cs="仿宋_GB2312"/>
          <w:color w:val="auto"/>
          <w:sz w:val="24"/>
          <w:szCs w:val="24"/>
          <w:highlight w:val="none"/>
        </w:rPr>
        <w:t>中标单位应按照相关规定，</w:t>
      </w:r>
      <w:r>
        <w:rPr>
          <w:rFonts w:hint="eastAsia" w:ascii="宋体" w:hAnsi="宋体" w:cs="仿宋_GB2312"/>
          <w:bCs/>
          <w:color w:val="auto"/>
          <w:sz w:val="24"/>
          <w:szCs w:val="24"/>
          <w:highlight w:val="none"/>
        </w:rPr>
        <w:t>与所有聘用人员依法签订劳动合同，每年组织安全管理教育、烹饪技能培训、季节性预防事故培训、服务技能培训及消防技能培训分别不少于1次。相关培训每缺少1次，对中标单位处以1000元罚款。未遵守防火安全规定，油污清理不及时，灭火设施配备不齐全、功能不完备，对中标单位每次处以200-1000元罚款</w:t>
      </w:r>
      <w:r>
        <w:rPr>
          <w:rFonts w:hint="eastAsia" w:ascii="宋体" w:hAnsi="宋体" w:cs="仿宋_GB2312"/>
          <w:color w:val="auto"/>
          <w:sz w:val="24"/>
          <w:szCs w:val="24"/>
          <w:highlight w:val="none"/>
        </w:rPr>
        <w:t>。</w:t>
      </w:r>
    </w:p>
    <w:p w14:paraId="2DCFCA39">
      <w:pPr>
        <w:pStyle w:val="85"/>
        <w:spacing w:line="360" w:lineRule="auto"/>
        <w:ind w:left="0" w:leftChars="0" w:firstLine="480" w:firstLineChars="200"/>
        <w:rPr>
          <w:rFonts w:ascii="宋体" w:hAnsi="宋体"/>
          <w:color w:val="auto"/>
          <w:sz w:val="24"/>
          <w:szCs w:val="24"/>
          <w:highlight w:val="none"/>
        </w:rPr>
      </w:pPr>
      <w:r>
        <w:rPr>
          <w:rFonts w:hint="eastAsia" w:ascii="宋体" w:hAnsi="宋体" w:cs="楷体_GB2312"/>
          <w:bCs/>
          <w:color w:val="auto"/>
          <w:sz w:val="24"/>
          <w:szCs w:val="24"/>
          <w:highlight w:val="none"/>
        </w:rPr>
        <w:t>4.</w:t>
      </w:r>
      <w:r>
        <w:rPr>
          <w:rFonts w:hint="eastAsia" w:ascii="宋体" w:hAnsi="宋体" w:cs="仿宋_GB2312"/>
          <w:color w:val="auto"/>
          <w:sz w:val="24"/>
          <w:szCs w:val="24"/>
          <w:highlight w:val="none"/>
        </w:rPr>
        <w:t>中标单位负责泔水、废油定点处理、食物加工制作、销售、管理团队、厨房设备维护、厨房和餐厅清洁。餐具清洗消毒不合格的，对中标单位每次处以100-500元罚款。</w:t>
      </w:r>
    </w:p>
    <w:p w14:paraId="15B9599F">
      <w:pPr>
        <w:pStyle w:val="85"/>
        <w:spacing w:line="360" w:lineRule="auto"/>
        <w:ind w:left="0" w:leftChars="0" w:firstLine="480" w:firstLineChars="200"/>
        <w:rPr>
          <w:rFonts w:ascii="宋体" w:hAnsi="宋体"/>
          <w:color w:val="auto"/>
          <w:sz w:val="24"/>
          <w:szCs w:val="24"/>
          <w:highlight w:val="none"/>
        </w:rPr>
      </w:pPr>
      <w:r>
        <w:rPr>
          <w:rFonts w:ascii="宋体" w:hAnsi="宋体" w:cs="楷体_GB2312"/>
          <w:bCs/>
          <w:color w:val="auto"/>
          <w:sz w:val="24"/>
          <w:szCs w:val="24"/>
          <w:highlight w:val="none"/>
        </w:rPr>
        <w:t>5.</w:t>
      </w:r>
      <w:r>
        <w:rPr>
          <w:rFonts w:hint="eastAsia" w:ascii="宋体" w:hAnsi="宋体"/>
          <w:color w:val="auto"/>
          <w:sz w:val="24"/>
          <w:szCs w:val="24"/>
          <w:highlight w:val="none"/>
        </w:rPr>
        <w:t>中标供应商负责食品原材料搬运，配合采购方验收、运输等工作。</w:t>
      </w:r>
    </w:p>
    <w:p w14:paraId="24EB3ABC">
      <w:pPr>
        <w:spacing w:line="360" w:lineRule="auto"/>
        <w:ind w:firstLine="480"/>
        <w:rPr>
          <w:rFonts w:ascii="宋体" w:hAnsi="宋体" w:cs="仿宋_GB2312"/>
          <w:color w:val="auto"/>
          <w:sz w:val="24"/>
          <w:szCs w:val="24"/>
          <w:highlight w:val="none"/>
        </w:rPr>
      </w:pPr>
      <w:r>
        <w:rPr>
          <w:rFonts w:hint="eastAsia" w:ascii="宋体" w:hAnsi="宋体"/>
          <w:color w:val="auto"/>
          <w:sz w:val="24"/>
          <w:szCs w:val="24"/>
          <w:highlight w:val="none"/>
        </w:rPr>
        <w:t>6.</w:t>
      </w:r>
      <w:r>
        <w:rPr>
          <w:rFonts w:hint="eastAsia" w:ascii="宋体" w:hAnsi="宋体" w:cs="仿宋_GB2312"/>
          <w:color w:val="auto"/>
          <w:sz w:val="24"/>
          <w:szCs w:val="24"/>
          <w:highlight w:val="none"/>
        </w:rPr>
        <w:t>确定中标后，中标单位须按采购人要求，提供所有用工人员相关材料给采购人备案，且未经采购人许可，不得更换项目负责人。未经采购人同意，自行更换管理人员，对中标单位每次处以1000元罚款。</w:t>
      </w:r>
    </w:p>
    <w:p w14:paraId="2440CA12">
      <w:pPr>
        <w:spacing w:line="360" w:lineRule="auto"/>
        <w:ind w:firstLine="600"/>
        <w:rPr>
          <w:rFonts w:ascii="宋体" w:hAnsi="宋体" w:cs="仿宋_GB2312"/>
          <w:color w:val="auto"/>
          <w:sz w:val="24"/>
          <w:szCs w:val="24"/>
          <w:highlight w:val="none"/>
        </w:rPr>
      </w:pPr>
      <w:r>
        <w:rPr>
          <w:rFonts w:hint="eastAsia" w:ascii="宋体" w:hAnsi="宋体" w:cs="仿宋_GB2312"/>
          <w:color w:val="auto"/>
          <w:sz w:val="24"/>
          <w:szCs w:val="24"/>
          <w:highlight w:val="none"/>
        </w:rPr>
        <w:t>7.中标单位要严格履行投标文件的承诺和与采购人签订的餐饮服务合同的约定，如发现餐饮服务达不到规定要求，中标单位服务水平下降，投诉多等现象或服务中发生重大失误的，</w:t>
      </w:r>
      <w:r>
        <w:rPr>
          <w:rFonts w:hint="eastAsia" w:ascii="宋体" w:hAnsi="宋体" w:cs="仿宋_GB2312"/>
          <w:color w:val="auto"/>
          <w:sz w:val="24"/>
          <w:szCs w:val="24"/>
          <w:highlight w:val="none"/>
          <w:lang w:val="en-US" w:eastAsia="zh-CN"/>
        </w:rPr>
        <w:t>甲方</w:t>
      </w:r>
      <w:r>
        <w:rPr>
          <w:rFonts w:hint="eastAsia" w:ascii="宋体" w:hAnsi="宋体" w:cs="仿宋_GB2312"/>
          <w:color w:val="auto"/>
          <w:sz w:val="24"/>
          <w:szCs w:val="24"/>
          <w:highlight w:val="none"/>
        </w:rPr>
        <w:t>有权依照法律程序解除合同，并追究中标单位的违约责任。工作人员服务态度不热情、处理服务对象反映问题不及时、与服务对象发生争执、被服务对象投诉查证属实、接受监管考核态度不端正或资产管理不科学，对中标单位每次处以100-500元罚款。服务的满意度不得低于90％，否则对中标单位每次处以2000元罚款。</w:t>
      </w:r>
    </w:p>
    <w:p w14:paraId="56074CFF">
      <w:pPr>
        <w:spacing w:line="360" w:lineRule="auto"/>
        <w:ind w:firstLine="600"/>
        <w:rPr>
          <w:rFonts w:ascii="宋体" w:hAnsi="宋体" w:cs="仿宋_GB2312"/>
          <w:color w:val="auto"/>
          <w:sz w:val="24"/>
          <w:szCs w:val="24"/>
          <w:highlight w:val="none"/>
        </w:rPr>
      </w:pPr>
      <w:r>
        <w:rPr>
          <w:rFonts w:hint="eastAsia" w:ascii="宋体" w:hAnsi="宋体" w:cs="仿宋_GB2312"/>
          <w:color w:val="auto"/>
          <w:sz w:val="24"/>
          <w:szCs w:val="24"/>
          <w:highlight w:val="none"/>
        </w:rPr>
        <w:t>8.中标单位应控制所属从业人员的留退率（年人员流动率10%～15%），未经采购人同意，不得自行更换管理人员（退休除外）。人员须定岗定位，空缺岗位人员须在一个月内补齐。一个月内未补齐的，对中标单位每人次处以2000元罚款；两个月内未补齐的，对中标单位每人次处以5000元罚款；三个月内未补齐的，对中标单位每人次处以10000元罚款。采购人在应急突发事件的情况下，有直接管理、设置和调动中标单位岗位的权力并有权要求中标单位及时更换不服从管理、违纪、不称职或其他原因不适合继续管理服务的人员。未按要求配备人员的，按考核相关规定执行。</w:t>
      </w:r>
    </w:p>
    <w:p w14:paraId="609A617E">
      <w:pPr>
        <w:spacing w:line="360" w:lineRule="auto"/>
        <w:ind w:firstLine="480"/>
        <w:rPr>
          <w:rFonts w:ascii="宋体" w:hAnsi="宋体" w:cs="仿宋_GB2312"/>
          <w:color w:val="auto"/>
          <w:sz w:val="24"/>
          <w:szCs w:val="24"/>
          <w:highlight w:val="none"/>
        </w:rPr>
      </w:pPr>
      <w:r>
        <w:rPr>
          <w:rFonts w:hint="eastAsia" w:ascii="宋体" w:hAnsi="宋体" w:cs="仿宋_GB2312"/>
          <w:color w:val="auto"/>
          <w:sz w:val="24"/>
          <w:szCs w:val="24"/>
          <w:highlight w:val="none"/>
        </w:rPr>
        <w:t>9.中标单位应按月对餐饮服务人员进行考核，以确保服务质量。规章制度和考核机制不完备，对中标单位每次处以100-500元罚款。采购人定期或不定期对中标单位管理服务人员进行满意度调查和业务水平测试，并作为考核参考。若有违反职业道德、工作职责或其他违法违纪行为的，采购人将对中标单位严格考核，并与服务外包支付费用挂勾。如招标单位接到关于餐饮方面投诉，中标单位必须立即进行整改，如造成重大影响或经济损失的，采购人有权依照法律程序解除合同，并追究中标单位的违约责任。</w:t>
      </w:r>
    </w:p>
    <w:p w14:paraId="3AEBE136">
      <w:pPr>
        <w:spacing w:line="360" w:lineRule="auto"/>
        <w:ind w:firstLine="480"/>
        <w:rPr>
          <w:rFonts w:ascii="宋体" w:hAnsi="宋体" w:cs="仿宋_GB2312"/>
          <w:color w:val="auto"/>
          <w:sz w:val="24"/>
          <w:szCs w:val="24"/>
          <w:highlight w:val="none"/>
        </w:rPr>
      </w:pPr>
      <w:r>
        <w:rPr>
          <w:rFonts w:hint="eastAsia" w:ascii="宋体" w:hAnsi="宋体" w:cs="仿宋_GB2312"/>
          <w:color w:val="auto"/>
          <w:sz w:val="24"/>
          <w:szCs w:val="24"/>
          <w:highlight w:val="none"/>
        </w:rPr>
        <w:t>10.严格执行《食品安全法》的各项规定，所有现场配备人员必须持健康证上岗，每年不少于1次健康体检，健康证过期，对中标单位每人次处以100-500元罚款。严格执行清洁消毒规定，严禁出售变质、变味的饭菜。</w:t>
      </w:r>
    </w:p>
    <w:p w14:paraId="35F7536F">
      <w:pPr>
        <w:spacing w:line="360" w:lineRule="auto"/>
        <w:ind w:firstLine="480"/>
        <w:rPr>
          <w:rFonts w:ascii="宋体" w:hAnsi="宋体" w:cs="仿宋_GB2312"/>
          <w:color w:val="auto"/>
          <w:sz w:val="24"/>
          <w:szCs w:val="24"/>
          <w:highlight w:val="none"/>
        </w:rPr>
      </w:pPr>
      <w:r>
        <w:rPr>
          <w:rFonts w:hint="eastAsia" w:ascii="宋体" w:hAnsi="宋体" w:cs="仿宋_GB2312"/>
          <w:color w:val="auto"/>
          <w:sz w:val="24"/>
          <w:szCs w:val="24"/>
          <w:highlight w:val="none"/>
        </w:rPr>
        <w:t>11.所有员工进入岗位前必须穿戴统一工作服，使用一次性卫生手套、口罩，所有人员在工作时间内必须穿防滑鞋。工作时不得会客、吸烟、吃食品、大声喧哗和聊天。工作人员未按规定统一着装、未在指定场所吸烟或未按要求落实个人卫生，对中标单位每人次处以100-500元罚款。所有人员不得自带任何食物进出工作区域，无关人员不得进入工作区域。</w:t>
      </w:r>
    </w:p>
    <w:p w14:paraId="762B47F3">
      <w:pPr>
        <w:spacing w:line="360" w:lineRule="auto"/>
        <w:ind w:firstLine="480"/>
        <w:rPr>
          <w:rFonts w:ascii="宋体" w:hAnsi="宋体" w:cs="仿宋_GB2312"/>
          <w:color w:val="auto"/>
          <w:sz w:val="24"/>
          <w:szCs w:val="24"/>
          <w:highlight w:val="none"/>
        </w:rPr>
      </w:pPr>
      <w:r>
        <w:rPr>
          <w:rFonts w:hint="eastAsia" w:ascii="宋体" w:hAnsi="宋体" w:cs="仿宋_GB2312"/>
          <w:color w:val="auto"/>
          <w:sz w:val="24"/>
          <w:szCs w:val="24"/>
          <w:highlight w:val="none"/>
        </w:rPr>
        <w:t>12.严格遵守采购人的用餐时间，保证一日两餐按时正点开餐，在开餐前15分钟确保所有饭菜品全部摆放到位，开餐前5分钟所有服务人员站立到指定岗位等待开餐。未按要求做好餐前准备工作，对中标单位每次处以100-500元罚款。</w:t>
      </w:r>
    </w:p>
    <w:p w14:paraId="5771EC8C">
      <w:pPr>
        <w:spacing w:line="360" w:lineRule="auto"/>
        <w:ind w:firstLine="480"/>
        <w:rPr>
          <w:rFonts w:ascii="宋体" w:hAnsi="宋体" w:cs="仿宋_GB2312"/>
          <w:color w:val="auto"/>
          <w:sz w:val="24"/>
          <w:szCs w:val="24"/>
          <w:highlight w:val="none"/>
        </w:rPr>
      </w:pPr>
      <w:r>
        <w:rPr>
          <w:rFonts w:hint="eastAsia" w:ascii="宋体" w:hAnsi="宋体" w:cs="仿宋_GB2312"/>
          <w:color w:val="auto"/>
          <w:sz w:val="24"/>
          <w:szCs w:val="24"/>
          <w:highlight w:val="none"/>
        </w:rPr>
        <w:t>13.用餐期间厨房保证食品菜肴不断档，且温度符合要求，就餐人员离开后及时擦拭干净餐桌以备第二餐次人员使用，用餐时段结束后彻底清洁用餐区域，余留食品按规定处理。菜肴提供不及时、每断档超过3分钟，对中标单位每次处以100-500元罚款。</w:t>
      </w:r>
    </w:p>
    <w:p w14:paraId="4F180002">
      <w:pPr>
        <w:spacing w:line="360" w:lineRule="auto"/>
        <w:ind w:firstLine="480"/>
        <w:rPr>
          <w:rFonts w:ascii="宋体" w:hAnsi="宋体" w:cs="仿宋_GB2312"/>
          <w:color w:val="auto"/>
          <w:sz w:val="24"/>
          <w:szCs w:val="24"/>
          <w:highlight w:val="none"/>
        </w:rPr>
      </w:pPr>
      <w:r>
        <w:rPr>
          <w:rFonts w:hint="eastAsia" w:ascii="宋体" w:hAnsi="宋体" w:cs="仿宋_GB2312"/>
          <w:color w:val="auto"/>
          <w:sz w:val="24"/>
          <w:szCs w:val="24"/>
          <w:highlight w:val="none"/>
        </w:rPr>
        <w:t>14.日常保洁工作，要求地面清洁，下水道通畅，无积水，工作场所整洁，无积灰，墙壁无霉斑，各种餐具用品做到卫生、洁净、消毒；餐室（厨房）无蝇、无虫，排油烟设施罩清洁不滴油。卫生清洁不及时、有死角或餐厅桌椅摆放、物品放置不整齐，对中标单位每次处以100-500元罚款。</w:t>
      </w:r>
    </w:p>
    <w:p w14:paraId="0048982A">
      <w:pPr>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15.配合采购人不定期邀请第三方对中标单位的餐具、菜肴进行检测。出现食品检测问题未造成严重影响的，采购人对中标单位每次处以10000元罚款；出现食品检测问题造成一定后果和影响的，采购人对中标单位每次处以30000元罚款，并约谈外包公司；出现食品检测问题造成严重后果和影响的，视情解除合同</w:t>
      </w:r>
      <w:r>
        <w:rPr>
          <w:rFonts w:hint="eastAsia" w:ascii="宋体" w:hAnsi="宋体"/>
          <w:bCs/>
          <w:color w:val="auto"/>
          <w:sz w:val="24"/>
          <w:szCs w:val="24"/>
          <w:highlight w:val="none"/>
        </w:rPr>
        <w:t>并追究中标单位的违约责任。</w:t>
      </w:r>
    </w:p>
    <w:p w14:paraId="4116663E">
      <w:pPr>
        <w:spacing w:line="360" w:lineRule="auto"/>
        <w:ind w:firstLine="480"/>
        <w:rPr>
          <w:rFonts w:ascii="宋体" w:hAnsi="宋体" w:cs="仿宋_GB2312"/>
          <w:color w:val="auto"/>
          <w:sz w:val="24"/>
          <w:szCs w:val="24"/>
          <w:highlight w:val="none"/>
        </w:rPr>
      </w:pPr>
      <w:r>
        <w:rPr>
          <w:rFonts w:hint="eastAsia" w:ascii="宋体" w:hAnsi="宋体" w:cs="仿宋_GB2312"/>
          <w:color w:val="auto"/>
          <w:sz w:val="24"/>
          <w:szCs w:val="24"/>
          <w:highlight w:val="none"/>
        </w:rPr>
        <w:t>16.中标单位对采购人采购的食品原材料按食品验收程序规范操作，并严格落实食材验收制度。对符合要求的原材料，中标单位签收，对不符合要求的原材料，中标单位可拒收，并向采购人出具书面说明。</w:t>
      </w:r>
    </w:p>
    <w:p w14:paraId="7D7079B5">
      <w:pPr>
        <w:spacing w:line="360" w:lineRule="auto"/>
        <w:ind w:firstLine="480"/>
        <w:rPr>
          <w:rFonts w:ascii="宋体" w:hAnsi="宋体" w:cs="仿宋_GB2312"/>
          <w:color w:val="auto"/>
          <w:sz w:val="24"/>
          <w:szCs w:val="24"/>
          <w:highlight w:val="none"/>
        </w:rPr>
      </w:pPr>
      <w:r>
        <w:rPr>
          <w:rFonts w:hint="eastAsia" w:ascii="宋体" w:hAnsi="宋体" w:cs="仿宋_GB2312"/>
          <w:color w:val="auto"/>
          <w:sz w:val="24"/>
          <w:szCs w:val="24"/>
          <w:highlight w:val="none"/>
        </w:rPr>
        <w:t>17.中标单位未经采购人职能部门同意，不得在厨房内进行食品外加工，一经发现将作违约处理，对中标单位每次处以100-1000元罚款。</w:t>
      </w:r>
    </w:p>
    <w:p w14:paraId="20EA87EC">
      <w:pPr>
        <w:spacing w:line="360" w:lineRule="auto"/>
        <w:ind w:firstLine="480"/>
        <w:rPr>
          <w:rFonts w:ascii="宋体" w:hAnsi="宋体" w:cs="仿宋_GB2312"/>
          <w:color w:val="auto"/>
          <w:sz w:val="24"/>
          <w:szCs w:val="24"/>
          <w:highlight w:val="none"/>
        </w:rPr>
      </w:pPr>
      <w:r>
        <w:rPr>
          <w:rFonts w:hint="eastAsia" w:ascii="宋体" w:hAnsi="宋体" w:cs="仿宋_GB2312"/>
          <w:color w:val="auto"/>
          <w:sz w:val="24"/>
          <w:szCs w:val="24"/>
          <w:highlight w:val="none"/>
        </w:rPr>
        <w:t>18.中标单位必须健全餐厅逐日消耗制度、食品留样制度、索证登记制度，并积极协助配合采购人搞好成本核算和膳食管理。餐厅逐日消耗制度、食品留样制度、索证登记制度落实不到位的，对中标单位每次处以100-10000元罚款。</w:t>
      </w:r>
    </w:p>
    <w:p w14:paraId="384A652E">
      <w:pPr>
        <w:spacing w:line="360" w:lineRule="auto"/>
        <w:ind w:firstLine="480"/>
        <w:rPr>
          <w:rFonts w:ascii="宋体" w:hAnsi="宋体" w:cs="仿宋_GB2312"/>
          <w:color w:val="auto"/>
          <w:sz w:val="24"/>
          <w:szCs w:val="24"/>
          <w:highlight w:val="none"/>
        </w:rPr>
      </w:pPr>
      <w:r>
        <w:rPr>
          <w:rFonts w:hint="eastAsia" w:ascii="宋体" w:hAnsi="宋体" w:cs="仿宋_GB2312"/>
          <w:color w:val="auto"/>
          <w:sz w:val="24"/>
          <w:szCs w:val="24"/>
          <w:highlight w:val="none"/>
        </w:rPr>
        <w:t>19.在服务保障过程中，因中标单位管理、工艺流程不到位，引起病源性传播或食物中毒，—切责任由中标单位负责，并承担相应的法律和经济责任。</w:t>
      </w:r>
    </w:p>
    <w:p w14:paraId="1636223F">
      <w:pPr>
        <w:spacing w:line="360" w:lineRule="auto"/>
        <w:ind w:firstLine="480"/>
        <w:rPr>
          <w:rFonts w:ascii="宋体" w:hAnsi="宋体" w:cs="仿宋_GB2312"/>
          <w:color w:val="auto"/>
          <w:sz w:val="24"/>
          <w:szCs w:val="24"/>
          <w:highlight w:val="none"/>
        </w:rPr>
      </w:pPr>
      <w:r>
        <w:rPr>
          <w:rFonts w:hint="eastAsia" w:ascii="宋体" w:hAnsi="宋体" w:cs="仿宋_GB2312"/>
          <w:color w:val="auto"/>
          <w:sz w:val="24"/>
          <w:szCs w:val="24"/>
          <w:highlight w:val="none"/>
        </w:rPr>
        <w:t>20.定期组织服务问卷调查，及时收集情况反馈采购人，及时抓好整改。</w:t>
      </w:r>
    </w:p>
    <w:p w14:paraId="724F30A7">
      <w:pPr>
        <w:spacing w:line="360" w:lineRule="auto"/>
        <w:ind w:firstLine="480"/>
        <w:rPr>
          <w:rFonts w:ascii="宋体" w:hAnsi="宋体" w:cs="仿宋_GB2312"/>
          <w:color w:val="auto"/>
          <w:sz w:val="24"/>
          <w:szCs w:val="24"/>
          <w:highlight w:val="none"/>
        </w:rPr>
      </w:pPr>
      <w:r>
        <w:rPr>
          <w:rFonts w:hint="eastAsia" w:ascii="宋体" w:hAnsi="宋体" w:cs="仿宋_GB2312"/>
          <w:color w:val="auto"/>
          <w:sz w:val="24"/>
          <w:szCs w:val="24"/>
          <w:highlight w:val="none"/>
        </w:rPr>
        <w:t>21.</w:t>
      </w:r>
      <w:r>
        <w:rPr>
          <w:rFonts w:hint="eastAsia" w:ascii="宋体" w:hAnsi="宋体" w:cs="仿宋_GB2312"/>
          <w:color w:val="auto"/>
          <w:sz w:val="24"/>
          <w:szCs w:val="24"/>
          <w:highlight w:val="none"/>
          <w:lang w:eastAsia="zh-CN"/>
        </w:rPr>
        <w:t>乙方依法取得《食品卫生许可证》并严格执行《食品卫生法》的各项规定，所有服务员、洗菜员、厨师人员必须持健康证上岗，每年不少于1次健康体检，严格执行清洁消毒规定，不得提供变质、变味的饭菜。</w:t>
      </w:r>
      <w:r>
        <w:rPr>
          <w:rFonts w:hint="eastAsia" w:ascii="宋体" w:hAnsi="宋体" w:cs="仿宋_GB2312"/>
          <w:color w:val="auto"/>
          <w:sz w:val="24"/>
          <w:szCs w:val="24"/>
          <w:highlight w:val="none"/>
        </w:rPr>
        <w:t>厉行节约反对浪费。根据用餐实际情况，调整大锅小炒，重视做好边角料加工制作及根系制作小菜工作，定期推出新品。</w:t>
      </w:r>
    </w:p>
    <w:p w14:paraId="2C0B793B">
      <w:pPr>
        <w:widowControl w:val="0"/>
        <w:tabs>
          <w:tab w:val="left" w:pos="900"/>
        </w:tabs>
        <w:spacing w:line="360" w:lineRule="auto"/>
        <w:ind w:firstLine="480"/>
        <w:jc w:val="both"/>
        <w:rPr>
          <w:rFonts w:hint="eastAsia" w:ascii="宋体" w:hAnsi="宋体" w:cs="仿宋_GB2312"/>
          <w:color w:val="auto"/>
          <w:sz w:val="24"/>
          <w:szCs w:val="24"/>
          <w:highlight w:val="none"/>
        </w:rPr>
      </w:pPr>
      <w:r>
        <w:rPr>
          <w:rFonts w:hint="eastAsia" w:ascii="宋体" w:hAnsi="宋体" w:cs="仿宋_GB2312"/>
          <w:color w:val="auto"/>
          <w:sz w:val="24"/>
          <w:szCs w:val="24"/>
          <w:highlight w:val="none"/>
        </w:rPr>
        <w:t>22.中标单位要教育所属员工要以“餐厅”为家，爱护餐具厨杂及物品，尤其是不能有监守自盗及其它违纪犯法行为发生，否则，采购人依法纪追究其责任。发现监守自盗，造成财物损失的，按市场价10倍罚款并责令中标单位解除其合同。</w:t>
      </w:r>
      <w:r>
        <w:rPr>
          <w:rFonts w:hint="eastAsia" w:ascii="宋体" w:hAnsi="宋体" w:eastAsia="宋体" w:cs="宋体"/>
          <w:bCs/>
          <w:color w:val="auto"/>
          <w:sz w:val="24"/>
          <w:szCs w:val="24"/>
          <w:highlight w:val="none"/>
          <w:lang w:eastAsia="zh-CN"/>
        </w:rPr>
        <w:t>乙方应是一支精干、高效、专业、敬业、健康有品牌的餐饮服务团队，有能力为用餐人员提供安全、优质、高效、满意的餐饮服务。企业内设机构必须齐全，有严谨的人事、财务、销售、业务及服务管理体系，注重企业文化。</w:t>
      </w:r>
    </w:p>
    <w:p w14:paraId="0DC17849">
      <w:pPr>
        <w:spacing w:line="440" w:lineRule="exact"/>
        <w:ind w:firstLine="240"/>
        <w:rPr>
          <w:rFonts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六</w:t>
      </w:r>
      <w:r>
        <w:rPr>
          <w:rFonts w:hint="eastAsia" w:ascii="宋体" w:hAnsi="宋体"/>
          <w:color w:val="auto"/>
          <w:sz w:val="24"/>
          <w:szCs w:val="24"/>
          <w:highlight w:val="none"/>
        </w:rPr>
        <w:t>）对中标方的监管考核要求及考评标准</w:t>
      </w:r>
    </w:p>
    <w:p w14:paraId="5CC9B946">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1.考核主体为采购方考核小组；</w:t>
      </w:r>
    </w:p>
    <w:p w14:paraId="47FEC336">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2.中标单位保证员工政审合格率达到100%。中标单位在招录员工时，必须对员工进行政审，保证员工政治思想素质过硬；</w:t>
      </w:r>
    </w:p>
    <w:p w14:paraId="062736D6">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3.中标单位要保证员工到岗率达到100%。中标单位必须按照招标文件规定人数，安排人员到岗。缺岗1人，每日扣除相应服务费，直到人员配齐到岗为止。</w:t>
      </w:r>
    </w:p>
    <w:p w14:paraId="2D6CAC47">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4.中标单位对新上岗的员工必须抓好员工日常培训，包括职业道德、礼仪礼貌、工作纪律、岗位职责等，并有培训记录；</w:t>
      </w:r>
    </w:p>
    <w:p w14:paraId="7706228A">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5.中标单位必须有强有力的管理团队、有健全的规章制度和考核机制；</w:t>
      </w:r>
    </w:p>
    <w:p w14:paraId="7496C1C6">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6.中标单位要保持队伍相对稳定，每月员工流动率不高于10%。造成临时缺岗的，中标单位应在一个月内补充到位；</w:t>
      </w:r>
    </w:p>
    <w:p w14:paraId="7CC39CA7">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7.中标单位要严格内部管理。如有下列情形，采购方有权按法律程序终止其合同，并追究相关责任；如涉嫌违法，则由司法机关追究其法律责任：</w:t>
      </w:r>
    </w:p>
    <w:p w14:paraId="3AF73CE3">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（1）因管理不善造成员工负重伤和死亡的，或发生重大食品安全事故的；</w:t>
      </w:r>
    </w:p>
    <w:p w14:paraId="12911E6E">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（2）因服务人员被投诉举报，造成恶劣影响并经查证属实的；</w:t>
      </w:r>
    </w:p>
    <w:p w14:paraId="528D09D8">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（3）因服务人员工作中违反职业道德，发生监守自盗的；</w:t>
      </w:r>
    </w:p>
    <w:p w14:paraId="714ACCB6">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（4）受到相关部门通报批评的、被媒体曝光查实的。</w:t>
      </w:r>
    </w:p>
    <w:p w14:paraId="59E02EA1">
      <w:pPr>
        <w:spacing w:line="360" w:lineRule="auto"/>
        <w:ind w:firstLine="480" w:firstLineChars="200"/>
        <w:rPr>
          <w:rFonts w:ascii="宋体" w:hAnsi="宋体" w:cs="仿宋_GB2312"/>
          <w:bCs/>
          <w:color w:val="auto"/>
          <w:sz w:val="24"/>
          <w:szCs w:val="24"/>
          <w:highlight w:val="none"/>
        </w:rPr>
      </w:pPr>
      <w:r>
        <w:rPr>
          <w:rFonts w:hint="eastAsia" w:ascii="宋体" w:hAnsi="宋体" w:cs="仿宋_GB2312"/>
          <w:bCs/>
          <w:color w:val="auto"/>
          <w:sz w:val="24"/>
          <w:szCs w:val="24"/>
          <w:highlight w:val="none"/>
        </w:rPr>
        <w:t>8.中标单位要加强厨房设施设备的使用管理。要爱惜采购方提供的设施设备，如发生人为损坏，则由中标单位按价赔偿。</w:t>
      </w:r>
    </w:p>
    <w:p w14:paraId="1E3F77BD">
      <w:pPr>
        <w:spacing w:line="360" w:lineRule="auto"/>
        <w:ind w:firstLine="480"/>
        <w:rPr>
          <w:rFonts w:hint="eastAsia" w:ascii="宋体" w:hAnsi="宋体"/>
          <w:color w:val="auto"/>
          <w:sz w:val="24"/>
          <w:szCs w:val="24"/>
          <w:highlight w:val="none"/>
        </w:rPr>
      </w:pPr>
      <w:r>
        <w:rPr>
          <w:rFonts w:hint="eastAsia" w:ascii="宋体" w:hAnsi="宋体" w:cs="仿宋_GB2312"/>
          <w:bCs/>
          <w:color w:val="auto"/>
          <w:sz w:val="24"/>
          <w:szCs w:val="24"/>
          <w:highlight w:val="none"/>
        </w:rPr>
        <w:t>9.对考核中发现逃避考核评估或存在严重违法违纪等行为的、限期整改且整改后不合条件的，将被严肃查处。</w:t>
      </w:r>
    </w:p>
    <w:p w14:paraId="73D5DC38">
      <w:pPr>
        <w:spacing w:line="360" w:lineRule="auto"/>
        <w:ind w:firstLine="482"/>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考核标准：无锡市机关管理局外包单位月度考核表</w:t>
      </w:r>
    </w:p>
    <w:tbl>
      <w:tblPr>
        <w:tblStyle w:val="34"/>
        <w:tblW w:w="94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8"/>
        <w:gridCol w:w="691"/>
        <w:gridCol w:w="527"/>
        <w:gridCol w:w="549"/>
        <w:gridCol w:w="736"/>
        <w:gridCol w:w="6457"/>
      </w:tblGrid>
      <w:tr w14:paraId="47761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488" w:type="dxa"/>
            <w:tcBorders>
              <w:tl2br w:val="nil"/>
              <w:tr2bl w:val="nil"/>
            </w:tcBorders>
            <w:noWrap/>
            <w:tcMar>
              <w:top w:w="0" w:type="dxa"/>
              <w:left w:w="108" w:type="dxa"/>
              <w:bottom w:w="0" w:type="dxa"/>
              <w:right w:w="108" w:type="dxa"/>
            </w:tcMar>
            <w:vAlign w:val="center"/>
          </w:tcPr>
          <w:p w14:paraId="49A229AA">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691" w:type="dxa"/>
            <w:tcBorders>
              <w:tl2br w:val="nil"/>
              <w:tr2bl w:val="nil"/>
            </w:tcBorders>
            <w:noWrap/>
            <w:tcMar>
              <w:top w:w="0" w:type="dxa"/>
              <w:left w:w="108" w:type="dxa"/>
              <w:bottom w:w="0" w:type="dxa"/>
              <w:right w:w="108" w:type="dxa"/>
            </w:tcMar>
            <w:vAlign w:val="center"/>
          </w:tcPr>
          <w:p w14:paraId="6A8512FD">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考核内容</w:t>
            </w:r>
          </w:p>
        </w:tc>
        <w:tc>
          <w:tcPr>
            <w:tcW w:w="527" w:type="dxa"/>
            <w:tcBorders>
              <w:tl2br w:val="nil"/>
              <w:tr2bl w:val="nil"/>
            </w:tcBorders>
            <w:noWrap/>
            <w:tcMar>
              <w:top w:w="0" w:type="dxa"/>
              <w:left w:w="108" w:type="dxa"/>
              <w:bottom w:w="0" w:type="dxa"/>
              <w:right w:w="108" w:type="dxa"/>
            </w:tcMar>
            <w:vAlign w:val="center"/>
          </w:tcPr>
          <w:p w14:paraId="5B65424C">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总分值</w:t>
            </w:r>
          </w:p>
        </w:tc>
        <w:tc>
          <w:tcPr>
            <w:tcW w:w="549" w:type="dxa"/>
            <w:tcBorders>
              <w:tl2br w:val="nil"/>
              <w:tr2bl w:val="nil"/>
            </w:tcBorders>
            <w:noWrap/>
            <w:tcMar>
              <w:top w:w="0" w:type="dxa"/>
              <w:left w:w="108" w:type="dxa"/>
              <w:bottom w:w="0" w:type="dxa"/>
              <w:right w:w="108" w:type="dxa"/>
            </w:tcMar>
            <w:vAlign w:val="center"/>
          </w:tcPr>
          <w:p w14:paraId="4F765DFD">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扣分值</w:t>
            </w:r>
          </w:p>
        </w:tc>
        <w:tc>
          <w:tcPr>
            <w:tcW w:w="736" w:type="dxa"/>
            <w:tcBorders>
              <w:tl2br w:val="nil"/>
              <w:tr2bl w:val="nil"/>
            </w:tcBorders>
            <w:noWrap/>
            <w:tcMar>
              <w:top w:w="0" w:type="dxa"/>
              <w:left w:w="108" w:type="dxa"/>
              <w:bottom w:w="0" w:type="dxa"/>
              <w:right w:w="108" w:type="dxa"/>
            </w:tcMar>
            <w:vAlign w:val="center"/>
          </w:tcPr>
          <w:p w14:paraId="3238336C">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扣分事由</w:t>
            </w:r>
          </w:p>
        </w:tc>
        <w:tc>
          <w:tcPr>
            <w:tcW w:w="6457" w:type="dxa"/>
            <w:tcBorders>
              <w:tl2br w:val="nil"/>
              <w:tr2bl w:val="nil"/>
            </w:tcBorders>
            <w:noWrap/>
            <w:tcMar>
              <w:top w:w="0" w:type="dxa"/>
              <w:left w:w="108" w:type="dxa"/>
              <w:bottom w:w="0" w:type="dxa"/>
              <w:right w:w="108" w:type="dxa"/>
            </w:tcMar>
            <w:vAlign w:val="center"/>
          </w:tcPr>
          <w:p w14:paraId="4DDCB211">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考核细则</w:t>
            </w:r>
          </w:p>
        </w:tc>
      </w:tr>
      <w:tr w14:paraId="22E9D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88" w:type="dxa"/>
            <w:tcBorders>
              <w:tl2br w:val="nil"/>
              <w:tr2bl w:val="nil"/>
            </w:tcBorders>
            <w:noWrap/>
            <w:tcMar>
              <w:top w:w="0" w:type="dxa"/>
              <w:left w:w="108" w:type="dxa"/>
              <w:bottom w:w="0" w:type="dxa"/>
              <w:right w:w="108" w:type="dxa"/>
            </w:tcMar>
            <w:vAlign w:val="center"/>
          </w:tcPr>
          <w:p w14:paraId="55F77520">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91" w:type="dxa"/>
            <w:tcBorders>
              <w:tl2br w:val="nil"/>
              <w:tr2bl w:val="nil"/>
            </w:tcBorders>
            <w:noWrap/>
            <w:tcMar>
              <w:top w:w="0" w:type="dxa"/>
              <w:left w:w="108" w:type="dxa"/>
              <w:bottom w:w="0" w:type="dxa"/>
              <w:right w:w="108" w:type="dxa"/>
            </w:tcMar>
            <w:vAlign w:val="center"/>
          </w:tcPr>
          <w:p w14:paraId="653575C5">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组织管理</w:t>
            </w:r>
          </w:p>
        </w:tc>
        <w:tc>
          <w:tcPr>
            <w:tcW w:w="527" w:type="dxa"/>
            <w:tcBorders>
              <w:tl2br w:val="nil"/>
              <w:tr2bl w:val="nil"/>
            </w:tcBorders>
            <w:noWrap/>
            <w:tcMar>
              <w:top w:w="0" w:type="dxa"/>
              <w:left w:w="108" w:type="dxa"/>
              <w:bottom w:w="0" w:type="dxa"/>
              <w:right w:w="108" w:type="dxa"/>
            </w:tcMar>
            <w:vAlign w:val="center"/>
          </w:tcPr>
          <w:p w14:paraId="66698C2C">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15分</w:t>
            </w:r>
          </w:p>
        </w:tc>
        <w:tc>
          <w:tcPr>
            <w:tcW w:w="549" w:type="dxa"/>
            <w:tcBorders>
              <w:tl2br w:val="nil"/>
              <w:tr2bl w:val="nil"/>
            </w:tcBorders>
            <w:noWrap/>
            <w:tcMar>
              <w:top w:w="0" w:type="dxa"/>
              <w:left w:w="108" w:type="dxa"/>
              <w:bottom w:w="0" w:type="dxa"/>
              <w:right w:w="108" w:type="dxa"/>
            </w:tcMar>
            <w:vAlign w:val="center"/>
          </w:tcPr>
          <w:p w14:paraId="59CC0CB7">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736" w:type="dxa"/>
            <w:tcBorders>
              <w:tl2br w:val="nil"/>
              <w:tr2bl w:val="nil"/>
            </w:tcBorders>
            <w:noWrap/>
            <w:tcMar>
              <w:top w:w="0" w:type="dxa"/>
              <w:left w:w="108" w:type="dxa"/>
              <w:bottom w:w="0" w:type="dxa"/>
              <w:right w:w="108" w:type="dxa"/>
            </w:tcMar>
            <w:vAlign w:val="center"/>
          </w:tcPr>
          <w:p w14:paraId="493DDBBC">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6457" w:type="dxa"/>
            <w:tcBorders>
              <w:tl2br w:val="nil"/>
              <w:tr2bl w:val="nil"/>
            </w:tcBorders>
            <w:noWrap/>
            <w:tcMar>
              <w:top w:w="0" w:type="dxa"/>
              <w:left w:w="108" w:type="dxa"/>
              <w:bottom w:w="0" w:type="dxa"/>
              <w:right w:w="108" w:type="dxa"/>
            </w:tcMar>
            <w:vAlign w:val="center"/>
          </w:tcPr>
          <w:p w14:paraId="030A0CB3">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1.岗位人员按合同要求配齐配全，组织架构、服务方案科学合理；</w:t>
            </w:r>
          </w:p>
          <w:p w14:paraId="0C3807C8">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2.人才梯队建设合理，人员素质、技术等级、相关职称满足岗位需求，员工持证上岗；</w:t>
            </w:r>
          </w:p>
          <w:p w14:paraId="7C91E821">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3.岗位分工及工作职责清晰，内部管理严格规范；</w:t>
            </w:r>
          </w:p>
          <w:p w14:paraId="596186F8">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4.员工培训计划、月度工作计划及措施详细，档案资料、工作台账完备，各类登（统）表填写规范齐全；</w:t>
            </w:r>
          </w:p>
          <w:p w14:paraId="1A672E78">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5.落实员工考勤制度；</w:t>
            </w:r>
          </w:p>
          <w:p w14:paraId="18108DE0">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6.员工上班期间统一工装挂牌上岗，仪容仪表端正，服务态度热情周到，服务礼貌使用文明用语；</w:t>
            </w:r>
          </w:p>
          <w:p w14:paraId="230D9593">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7.办公室、值班室、设备房、工具间按规范要求设置。</w:t>
            </w:r>
          </w:p>
        </w:tc>
      </w:tr>
      <w:tr w14:paraId="0FAB3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2" w:hRule="atLeast"/>
        </w:trPr>
        <w:tc>
          <w:tcPr>
            <w:tcW w:w="488" w:type="dxa"/>
            <w:tcBorders>
              <w:tl2br w:val="nil"/>
              <w:tr2bl w:val="nil"/>
            </w:tcBorders>
            <w:noWrap/>
            <w:tcMar>
              <w:top w:w="0" w:type="dxa"/>
              <w:left w:w="108" w:type="dxa"/>
              <w:bottom w:w="0" w:type="dxa"/>
              <w:right w:w="108" w:type="dxa"/>
            </w:tcMar>
            <w:vAlign w:val="center"/>
          </w:tcPr>
          <w:p w14:paraId="7C3746A6">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91" w:type="dxa"/>
            <w:tcBorders>
              <w:tl2br w:val="nil"/>
              <w:tr2bl w:val="nil"/>
            </w:tcBorders>
            <w:noWrap/>
            <w:tcMar>
              <w:top w:w="0" w:type="dxa"/>
              <w:left w:w="108" w:type="dxa"/>
              <w:bottom w:w="0" w:type="dxa"/>
              <w:right w:w="108" w:type="dxa"/>
            </w:tcMar>
            <w:vAlign w:val="center"/>
          </w:tcPr>
          <w:p w14:paraId="5B47ED76">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制度建设</w:t>
            </w:r>
          </w:p>
        </w:tc>
        <w:tc>
          <w:tcPr>
            <w:tcW w:w="527" w:type="dxa"/>
            <w:tcBorders>
              <w:tl2br w:val="nil"/>
              <w:tr2bl w:val="nil"/>
            </w:tcBorders>
            <w:noWrap/>
            <w:tcMar>
              <w:top w:w="0" w:type="dxa"/>
              <w:left w:w="108" w:type="dxa"/>
              <w:bottom w:w="0" w:type="dxa"/>
              <w:right w:w="108" w:type="dxa"/>
            </w:tcMar>
            <w:vAlign w:val="center"/>
          </w:tcPr>
          <w:p w14:paraId="7B9A05D8">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10分</w:t>
            </w:r>
          </w:p>
        </w:tc>
        <w:tc>
          <w:tcPr>
            <w:tcW w:w="549" w:type="dxa"/>
            <w:tcBorders>
              <w:tl2br w:val="nil"/>
              <w:tr2bl w:val="nil"/>
            </w:tcBorders>
            <w:noWrap/>
            <w:tcMar>
              <w:top w:w="0" w:type="dxa"/>
              <w:left w:w="108" w:type="dxa"/>
              <w:bottom w:w="0" w:type="dxa"/>
              <w:right w:w="108" w:type="dxa"/>
            </w:tcMar>
            <w:vAlign w:val="center"/>
          </w:tcPr>
          <w:p w14:paraId="0D91D770">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736" w:type="dxa"/>
            <w:tcBorders>
              <w:tl2br w:val="nil"/>
              <w:tr2bl w:val="nil"/>
            </w:tcBorders>
            <w:noWrap/>
            <w:tcMar>
              <w:top w:w="0" w:type="dxa"/>
              <w:left w:w="108" w:type="dxa"/>
              <w:bottom w:w="0" w:type="dxa"/>
              <w:right w:w="108" w:type="dxa"/>
            </w:tcMar>
            <w:vAlign w:val="center"/>
          </w:tcPr>
          <w:p w14:paraId="521C4CA4">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6457" w:type="dxa"/>
            <w:tcBorders>
              <w:tl2br w:val="nil"/>
              <w:tr2bl w:val="nil"/>
            </w:tcBorders>
            <w:noWrap/>
            <w:tcMar>
              <w:top w:w="0" w:type="dxa"/>
              <w:left w:w="108" w:type="dxa"/>
              <w:bottom w:w="0" w:type="dxa"/>
              <w:right w:w="108" w:type="dxa"/>
            </w:tcMar>
            <w:vAlign w:val="center"/>
          </w:tcPr>
          <w:p w14:paraId="276CDDD4">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1.管理制度、岗位工作职责、工作流程、服务承诺、保密守则等按规定上墙公示；</w:t>
            </w:r>
          </w:p>
          <w:p w14:paraId="4949AE3F">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2.建立突发事件处置工作预案、极端天气应急预案；</w:t>
            </w:r>
          </w:p>
          <w:p w14:paraId="3132BE9E">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3.执行晨会、每周工作例会、每月质量分析会、安全日报制度；</w:t>
            </w:r>
          </w:p>
          <w:p w14:paraId="253EEFC1">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4.有效执行各类值班及请示报告制度；</w:t>
            </w:r>
          </w:p>
          <w:p w14:paraId="5663AA62">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5.建立健全员工绩效考核奖惩机制。</w:t>
            </w:r>
          </w:p>
        </w:tc>
      </w:tr>
      <w:tr w14:paraId="16366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5" w:hRule="atLeast"/>
        </w:trPr>
        <w:tc>
          <w:tcPr>
            <w:tcW w:w="488" w:type="dxa"/>
            <w:tcBorders>
              <w:tl2br w:val="nil"/>
              <w:tr2bl w:val="nil"/>
            </w:tcBorders>
            <w:noWrap/>
            <w:tcMar>
              <w:top w:w="0" w:type="dxa"/>
              <w:left w:w="108" w:type="dxa"/>
              <w:bottom w:w="0" w:type="dxa"/>
              <w:right w:w="108" w:type="dxa"/>
            </w:tcMar>
            <w:vAlign w:val="center"/>
          </w:tcPr>
          <w:p w14:paraId="68816A69">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691" w:type="dxa"/>
            <w:tcBorders>
              <w:tl2br w:val="nil"/>
              <w:tr2bl w:val="nil"/>
            </w:tcBorders>
            <w:noWrap/>
            <w:tcMar>
              <w:top w:w="0" w:type="dxa"/>
              <w:left w:w="108" w:type="dxa"/>
              <w:bottom w:w="0" w:type="dxa"/>
              <w:right w:w="108" w:type="dxa"/>
            </w:tcMar>
            <w:vAlign w:val="center"/>
          </w:tcPr>
          <w:p w14:paraId="43C27C8B">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服务质量</w:t>
            </w:r>
          </w:p>
        </w:tc>
        <w:tc>
          <w:tcPr>
            <w:tcW w:w="527" w:type="dxa"/>
            <w:tcBorders>
              <w:tl2br w:val="nil"/>
              <w:tr2bl w:val="nil"/>
            </w:tcBorders>
            <w:noWrap/>
            <w:tcMar>
              <w:top w:w="0" w:type="dxa"/>
              <w:left w:w="108" w:type="dxa"/>
              <w:bottom w:w="0" w:type="dxa"/>
              <w:right w:w="108" w:type="dxa"/>
            </w:tcMar>
            <w:vAlign w:val="center"/>
          </w:tcPr>
          <w:p w14:paraId="36BF64E9">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50分</w:t>
            </w:r>
          </w:p>
        </w:tc>
        <w:tc>
          <w:tcPr>
            <w:tcW w:w="549" w:type="dxa"/>
            <w:tcBorders>
              <w:tl2br w:val="nil"/>
              <w:tr2bl w:val="nil"/>
            </w:tcBorders>
            <w:noWrap/>
            <w:tcMar>
              <w:top w:w="0" w:type="dxa"/>
              <w:left w:w="108" w:type="dxa"/>
              <w:bottom w:w="0" w:type="dxa"/>
              <w:right w:w="108" w:type="dxa"/>
            </w:tcMar>
            <w:vAlign w:val="center"/>
          </w:tcPr>
          <w:p w14:paraId="49B9B037">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736" w:type="dxa"/>
            <w:tcBorders>
              <w:tl2br w:val="nil"/>
              <w:tr2bl w:val="nil"/>
            </w:tcBorders>
            <w:noWrap/>
            <w:tcMar>
              <w:top w:w="0" w:type="dxa"/>
              <w:left w:w="108" w:type="dxa"/>
              <w:bottom w:w="0" w:type="dxa"/>
              <w:right w:w="108" w:type="dxa"/>
            </w:tcMar>
            <w:vAlign w:val="center"/>
          </w:tcPr>
          <w:p w14:paraId="2221143B">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6457" w:type="dxa"/>
            <w:tcBorders>
              <w:tl2br w:val="nil"/>
              <w:tr2bl w:val="nil"/>
            </w:tcBorders>
            <w:noWrap/>
            <w:tcMar>
              <w:top w:w="0" w:type="dxa"/>
              <w:left w:w="108" w:type="dxa"/>
              <w:bottom w:w="0" w:type="dxa"/>
              <w:right w:w="108" w:type="dxa"/>
            </w:tcMar>
            <w:vAlign w:val="center"/>
          </w:tcPr>
          <w:p w14:paraId="1C67BDD5">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1.贯彻执行《物业管理条例》《机关后勤服务质量标准和要求》等行业标准；</w:t>
            </w:r>
          </w:p>
          <w:p w14:paraId="3F8D4E8B">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履行《项目服务外包合同》及服务承诺所规定的服务范围、工作标准及要求（根据合同内容针对性补充考核条款）；</w:t>
            </w:r>
          </w:p>
          <w:p w14:paraId="451297CB">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3.执行上级指令坚决及时；</w:t>
            </w:r>
          </w:p>
          <w:p w14:paraId="0EF7000B">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4.工作流程畅顺规范，服务规范无偏差，服务跟踪回访对各类投诉意见处理、服务响应时间及时；</w:t>
            </w:r>
          </w:p>
          <w:p w14:paraId="3FE4EF66">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5.设备房、操作间作业所用的设备器械及工具专人保管，摆放规范统一；</w:t>
            </w:r>
          </w:p>
          <w:p w14:paraId="344031EE">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6.定期组织员工业务技能、节能教育培训；</w:t>
            </w:r>
          </w:p>
          <w:p w14:paraId="57472181">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7.作业场所有无“长明灯”“长流水”“无人空调”等现象。</w:t>
            </w:r>
          </w:p>
        </w:tc>
      </w:tr>
      <w:tr w14:paraId="46518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7" w:hRule="atLeast"/>
        </w:trPr>
        <w:tc>
          <w:tcPr>
            <w:tcW w:w="488" w:type="dxa"/>
            <w:tcBorders>
              <w:tl2br w:val="nil"/>
              <w:tr2bl w:val="nil"/>
            </w:tcBorders>
            <w:noWrap/>
            <w:tcMar>
              <w:top w:w="0" w:type="dxa"/>
              <w:left w:w="108" w:type="dxa"/>
              <w:bottom w:w="0" w:type="dxa"/>
              <w:right w:w="108" w:type="dxa"/>
            </w:tcMar>
            <w:vAlign w:val="center"/>
          </w:tcPr>
          <w:p w14:paraId="0CD85E93">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5122B920">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5D4651C9">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p w14:paraId="50924FFE">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0D46EB66">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691" w:type="dxa"/>
            <w:tcBorders>
              <w:tl2br w:val="nil"/>
              <w:tr2bl w:val="nil"/>
            </w:tcBorders>
            <w:noWrap/>
            <w:tcMar>
              <w:top w:w="0" w:type="dxa"/>
              <w:left w:w="108" w:type="dxa"/>
              <w:bottom w:w="0" w:type="dxa"/>
              <w:right w:w="108" w:type="dxa"/>
            </w:tcMar>
            <w:vAlign w:val="center"/>
          </w:tcPr>
          <w:p w14:paraId="311E8B97">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安全管理</w:t>
            </w:r>
          </w:p>
        </w:tc>
        <w:tc>
          <w:tcPr>
            <w:tcW w:w="527" w:type="dxa"/>
            <w:tcBorders>
              <w:tl2br w:val="nil"/>
              <w:tr2bl w:val="nil"/>
            </w:tcBorders>
            <w:noWrap/>
            <w:tcMar>
              <w:top w:w="0" w:type="dxa"/>
              <w:left w:w="108" w:type="dxa"/>
              <w:bottom w:w="0" w:type="dxa"/>
              <w:right w:w="108" w:type="dxa"/>
            </w:tcMar>
            <w:vAlign w:val="center"/>
          </w:tcPr>
          <w:p w14:paraId="10A03978">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20分</w:t>
            </w:r>
          </w:p>
        </w:tc>
        <w:tc>
          <w:tcPr>
            <w:tcW w:w="549" w:type="dxa"/>
            <w:tcBorders>
              <w:tl2br w:val="nil"/>
              <w:tr2bl w:val="nil"/>
            </w:tcBorders>
            <w:noWrap/>
            <w:tcMar>
              <w:top w:w="0" w:type="dxa"/>
              <w:left w:w="108" w:type="dxa"/>
              <w:bottom w:w="0" w:type="dxa"/>
              <w:right w:w="108" w:type="dxa"/>
            </w:tcMar>
            <w:vAlign w:val="center"/>
          </w:tcPr>
          <w:p w14:paraId="027CBCAF">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736" w:type="dxa"/>
            <w:tcBorders>
              <w:tl2br w:val="nil"/>
              <w:tr2bl w:val="nil"/>
            </w:tcBorders>
            <w:noWrap/>
            <w:tcMar>
              <w:top w:w="0" w:type="dxa"/>
              <w:left w:w="108" w:type="dxa"/>
              <w:bottom w:w="0" w:type="dxa"/>
              <w:right w:w="108" w:type="dxa"/>
            </w:tcMar>
            <w:vAlign w:val="center"/>
          </w:tcPr>
          <w:p w14:paraId="0E2A7E10">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6457" w:type="dxa"/>
            <w:tcBorders>
              <w:tl2br w:val="nil"/>
              <w:tr2bl w:val="nil"/>
            </w:tcBorders>
            <w:noWrap/>
            <w:tcMar>
              <w:top w:w="0" w:type="dxa"/>
              <w:left w:w="108" w:type="dxa"/>
              <w:bottom w:w="0" w:type="dxa"/>
              <w:right w:w="108" w:type="dxa"/>
            </w:tcMar>
            <w:vAlign w:val="center"/>
          </w:tcPr>
          <w:p w14:paraId="1DFE1613">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1.项目建立安全管理组织架构，落实岗位安全责任制；</w:t>
            </w:r>
          </w:p>
          <w:p w14:paraId="4F8327A0">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2.建立健全安全管理制度、突发事件应急处置工作预案；</w:t>
            </w:r>
          </w:p>
          <w:p w14:paraId="7A9963D2">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3.按计划组织安全教育培训及应急演练；</w:t>
            </w:r>
          </w:p>
          <w:p w14:paraId="6B86D967">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4.施工作业落实有效安全防范措施，提醒、警示标识牌规范设置；</w:t>
            </w:r>
          </w:p>
          <w:p w14:paraId="519593EE">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5.建立安全巡检台账，安全隐患问题整改处置及时到位；</w:t>
            </w:r>
          </w:p>
          <w:p w14:paraId="00E14E2F">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6.不得擅自使用非标设备用具、大功率电气设备，禁止电线私拉乱接。</w:t>
            </w:r>
          </w:p>
        </w:tc>
      </w:tr>
      <w:tr w14:paraId="212FE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5" w:hRule="atLeast"/>
        </w:trPr>
        <w:tc>
          <w:tcPr>
            <w:tcW w:w="488" w:type="dxa"/>
            <w:tcBorders>
              <w:tl2br w:val="nil"/>
              <w:tr2bl w:val="nil"/>
            </w:tcBorders>
            <w:noWrap/>
            <w:tcMar>
              <w:top w:w="0" w:type="dxa"/>
              <w:left w:w="108" w:type="dxa"/>
              <w:bottom w:w="0" w:type="dxa"/>
              <w:right w:w="108" w:type="dxa"/>
            </w:tcMar>
            <w:vAlign w:val="center"/>
          </w:tcPr>
          <w:p w14:paraId="51F2DC64">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691" w:type="dxa"/>
            <w:tcBorders>
              <w:tl2br w:val="nil"/>
              <w:tr2bl w:val="nil"/>
            </w:tcBorders>
            <w:noWrap/>
            <w:tcMar>
              <w:top w:w="0" w:type="dxa"/>
              <w:left w:w="108" w:type="dxa"/>
              <w:bottom w:w="0" w:type="dxa"/>
              <w:right w:w="108" w:type="dxa"/>
            </w:tcMar>
            <w:vAlign w:val="center"/>
          </w:tcPr>
          <w:p w14:paraId="69D329DA">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廉洁自律</w:t>
            </w:r>
          </w:p>
        </w:tc>
        <w:tc>
          <w:tcPr>
            <w:tcW w:w="527" w:type="dxa"/>
            <w:tcBorders>
              <w:tl2br w:val="nil"/>
              <w:tr2bl w:val="nil"/>
            </w:tcBorders>
            <w:noWrap/>
            <w:tcMar>
              <w:top w:w="0" w:type="dxa"/>
              <w:left w:w="108" w:type="dxa"/>
              <w:bottom w:w="0" w:type="dxa"/>
              <w:right w:w="108" w:type="dxa"/>
            </w:tcMar>
            <w:vAlign w:val="center"/>
          </w:tcPr>
          <w:p w14:paraId="7B06802F">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5分</w:t>
            </w:r>
          </w:p>
        </w:tc>
        <w:tc>
          <w:tcPr>
            <w:tcW w:w="549" w:type="dxa"/>
            <w:tcBorders>
              <w:tl2br w:val="nil"/>
              <w:tr2bl w:val="nil"/>
            </w:tcBorders>
            <w:noWrap/>
            <w:tcMar>
              <w:top w:w="0" w:type="dxa"/>
              <w:left w:w="108" w:type="dxa"/>
              <w:bottom w:w="0" w:type="dxa"/>
              <w:right w:w="108" w:type="dxa"/>
            </w:tcMar>
            <w:vAlign w:val="center"/>
          </w:tcPr>
          <w:p w14:paraId="171BD5D3">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736" w:type="dxa"/>
            <w:tcBorders>
              <w:tl2br w:val="nil"/>
              <w:tr2bl w:val="nil"/>
            </w:tcBorders>
            <w:noWrap/>
            <w:tcMar>
              <w:top w:w="0" w:type="dxa"/>
              <w:left w:w="108" w:type="dxa"/>
              <w:bottom w:w="0" w:type="dxa"/>
              <w:right w:w="108" w:type="dxa"/>
            </w:tcMar>
            <w:vAlign w:val="center"/>
          </w:tcPr>
          <w:p w14:paraId="1AEE78DF">
            <w:pPr>
              <w:pBdr>
                <w:top w:val="none" w:color="000000" w:sz="0" w:space="0"/>
                <w:left w:val="none" w:color="000000" w:sz="0" w:space="0"/>
                <w:bottom w:val="none" w:color="000000" w:sz="0" w:space="0"/>
                <w:right w:val="none" w:color="000000" w:sz="0" w:space="0"/>
              </w:pBdr>
              <w:spacing w:line="3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6457" w:type="dxa"/>
            <w:tcBorders>
              <w:tl2br w:val="nil"/>
              <w:tr2bl w:val="nil"/>
            </w:tcBorders>
            <w:noWrap/>
            <w:tcMar>
              <w:top w:w="0" w:type="dxa"/>
              <w:left w:w="108" w:type="dxa"/>
              <w:bottom w:w="0" w:type="dxa"/>
              <w:right w:w="108" w:type="dxa"/>
            </w:tcMar>
            <w:vAlign w:val="center"/>
          </w:tcPr>
          <w:p w14:paraId="73E066F8">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1.遵守廉洁从业各项规定，不得向中心工作人员赠送礼金、有价证券、礼券、纪念品、烟酒等其他物品；</w:t>
            </w:r>
          </w:p>
          <w:p w14:paraId="301006C8">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2.不得向甲方工作人员支付业务回扣、佣金或其他好处；</w:t>
            </w:r>
          </w:p>
          <w:p w14:paraId="6637DA81">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3.不得违规出现向大楼其他合作供应商或施工单位吃、拿、卡、要现象。</w:t>
            </w:r>
          </w:p>
        </w:tc>
      </w:tr>
    </w:tbl>
    <w:p w14:paraId="17E63A01">
      <w:pPr>
        <w:widowControl w:val="0"/>
        <w:tabs>
          <w:tab w:val="left" w:pos="900"/>
        </w:tabs>
        <w:spacing w:line="360" w:lineRule="auto"/>
        <w:ind w:firstLine="480"/>
        <w:jc w:val="both"/>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注:1、每月进行考核一次，每半年度作为一个考核周期；</w:t>
      </w:r>
    </w:p>
    <w:p w14:paraId="22928EB9">
      <w:pPr>
        <w:widowControl w:val="0"/>
        <w:tabs>
          <w:tab w:val="left" w:pos="900"/>
        </w:tabs>
        <w:spacing w:line="360" w:lineRule="auto"/>
        <w:ind w:firstLine="480"/>
        <w:jc w:val="both"/>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2、每半年度得分=每次检查一至六项的算术平均值；</w:t>
      </w:r>
    </w:p>
    <w:p w14:paraId="762F86C0">
      <w:pPr>
        <w:widowControl w:val="0"/>
        <w:tabs>
          <w:tab w:val="left" w:pos="900"/>
        </w:tabs>
        <w:spacing w:line="360" w:lineRule="auto"/>
        <w:ind w:firstLine="480"/>
        <w:jc w:val="both"/>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3、每月考核得分在90分以下的，对中标单位进行提醒；每月考核得分在85分以下的，对中标单位进行约谈；每月考核得分在80分以下的，对中标单位进行警告。</w:t>
      </w:r>
    </w:p>
    <w:p w14:paraId="4E55B481">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七</w:t>
      </w:r>
      <w:r>
        <w:rPr>
          <w:rFonts w:hint="eastAsia" w:ascii="宋体" w:hAnsi="宋体" w:cs="宋体"/>
          <w:color w:val="auto"/>
          <w:sz w:val="24"/>
          <w:highlight w:val="none"/>
        </w:rPr>
        <w:t>）违约责任</w:t>
      </w:r>
    </w:p>
    <w:p w14:paraId="25044883">
      <w:pPr>
        <w:widowControl w:val="0"/>
        <w:tabs>
          <w:tab w:val="left" w:pos="900"/>
        </w:tabs>
        <w:spacing w:line="360" w:lineRule="auto"/>
        <w:ind w:firstLine="480"/>
        <w:jc w:val="both"/>
        <w:rPr>
          <w:rFonts w:hint="eastAsia" w:ascii="宋体" w:hAnsi="宋体" w:eastAsia="宋体" w:cs="宋体"/>
          <w:bCs/>
          <w:color w:val="auto"/>
          <w:sz w:val="24"/>
          <w:szCs w:val="24"/>
          <w:highlight w:val="none"/>
          <w:lang w:eastAsia="zh-CN"/>
        </w:rPr>
      </w:pPr>
      <w:r>
        <w:rPr>
          <w:rFonts w:hint="eastAsia" w:ascii="宋体" w:hAnsi="宋体" w:cs="宋体"/>
          <w:color w:val="auto"/>
          <w:sz w:val="24"/>
          <w:highlight w:val="none"/>
        </w:rPr>
        <w:t>1</w:t>
      </w:r>
      <w:r>
        <w:rPr>
          <w:rFonts w:ascii="宋体" w:hAnsi="宋体" w:cs="宋体"/>
          <w:color w:val="auto"/>
          <w:sz w:val="24"/>
          <w:highlight w:val="none"/>
        </w:rPr>
        <w:t>.</w:t>
      </w:r>
      <w:r>
        <w:rPr>
          <w:rFonts w:hint="eastAsia" w:ascii="宋体" w:hAnsi="宋体" w:eastAsia="宋体" w:cs="宋体"/>
          <w:bCs/>
          <w:color w:val="auto"/>
          <w:sz w:val="24"/>
          <w:szCs w:val="24"/>
          <w:highlight w:val="none"/>
          <w:lang w:eastAsia="zh-CN"/>
        </w:rPr>
        <w:t>乙方承担实施合作项目作业过程中的一切安全生产责任。乙方应无条件服从甲方的领导，自觉接受其监督考核，服务期内若发现逃避考核评估或存在严重违法违纪等行为的、限期整改且整改后不合条件的，将被严肃查处。考核主体为甲方监管考核领导小组。</w:t>
      </w:r>
    </w:p>
    <w:p w14:paraId="09ACF30B">
      <w:pPr>
        <w:spacing w:line="360" w:lineRule="auto"/>
        <w:ind w:firstLine="480"/>
        <w:rPr>
          <w:rFonts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若乙方经营的食堂发生重大安全问题、发生重大服务质量事故、</w:t>
      </w:r>
      <w:r>
        <w:rPr>
          <w:rFonts w:hint="eastAsia" w:ascii="宋体" w:hAnsi="宋体"/>
          <w:color w:val="auto"/>
          <w:sz w:val="24"/>
          <w:highlight w:val="none"/>
        </w:rPr>
        <w:t>连续三个月考核不合格者（考核得分低于</w:t>
      </w:r>
      <w:r>
        <w:rPr>
          <w:rFonts w:hint="eastAsia" w:ascii="宋体" w:hAnsi="宋体"/>
          <w:color w:val="auto"/>
          <w:sz w:val="24"/>
          <w:highlight w:val="none"/>
          <w:lang w:val="en-US" w:eastAsia="zh-CN"/>
        </w:rPr>
        <w:t>6</w:t>
      </w:r>
      <w:r>
        <w:rPr>
          <w:rFonts w:hint="eastAsia" w:ascii="宋体" w:hAnsi="宋体"/>
          <w:color w:val="auto"/>
          <w:sz w:val="24"/>
          <w:highlight w:val="none"/>
        </w:rPr>
        <w:t>0分）</w:t>
      </w:r>
      <w:r>
        <w:rPr>
          <w:rFonts w:hint="eastAsia" w:ascii="宋体" w:hAnsi="宋体" w:cs="宋体"/>
          <w:color w:val="auto"/>
          <w:sz w:val="24"/>
          <w:highlight w:val="none"/>
        </w:rPr>
        <w:t>等有退出机制中情形之一的，甲方有权立即解除本合同。乙方除应赔偿给甲方造成的一切损失（包括但不限于物质损失、名誉损失等）外，乙方另应向甲方支付合同金额5%作为违约金。</w:t>
      </w:r>
    </w:p>
    <w:p w14:paraId="2F97184F">
      <w:pPr>
        <w:spacing w:line="360" w:lineRule="auto"/>
        <w:ind w:firstLine="480"/>
        <w:rPr>
          <w:rFonts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.甲方员工对膳食质量、服务态度反映强烈，经甲方提出三次书面投诉意见后，乙方仍不整改或整改不得力、不彻底，甲方有权解除本合同。乙方应向甲方支付合同金额5%作为违约金。</w:t>
      </w:r>
    </w:p>
    <w:p w14:paraId="19EBE3FB">
      <w:pPr>
        <w:widowControl w:val="0"/>
        <w:tabs>
          <w:tab w:val="left" w:pos="900"/>
        </w:tabs>
        <w:spacing w:line="360" w:lineRule="auto"/>
        <w:ind w:firstLine="480"/>
        <w:jc w:val="both"/>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w:t>
      </w:r>
      <w:r>
        <w:rPr>
          <w:rFonts w:hint="eastAsia" w:ascii="宋体" w:hAnsi="宋体" w:eastAsia="宋体" w:cs="宋体"/>
          <w:bCs/>
          <w:color w:val="auto"/>
          <w:sz w:val="24"/>
          <w:szCs w:val="24"/>
          <w:highlight w:val="none"/>
          <w:lang w:eastAsia="zh-CN"/>
        </w:rPr>
        <w:t>乙方须按招标要求，配备项目现场服务人员，若未按招标要求配齐服务人员，一经甲方查实，将全额扣除所涉及内容的相关费用。</w:t>
      </w:r>
      <w:r>
        <w:rPr>
          <w:rFonts w:hint="eastAsia" w:ascii="宋体" w:hAnsi="宋体" w:cs="宋体"/>
          <w:color w:val="auto"/>
          <w:sz w:val="24"/>
          <w:highlight w:val="none"/>
        </w:rPr>
        <w:t>乙方的承诺如未按实提供的，甲方有权立即解除合同，且追究相应责任及损失。</w:t>
      </w:r>
    </w:p>
    <w:p w14:paraId="35AD0D97">
      <w:pPr>
        <w:widowControl w:val="0"/>
        <w:tabs>
          <w:tab w:val="left" w:pos="900"/>
        </w:tabs>
        <w:spacing w:line="360" w:lineRule="auto"/>
        <w:ind w:firstLine="480"/>
        <w:jc w:val="both"/>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w:t>
      </w:r>
      <w:r>
        <w:rPr>
          <w:rFonts w:hint="eastAsia" w:ascii="宋体" w:hAnsi="宋体" w:eastAsia="宋体" w:cs="宋体"/>
          <w:bCs/>
          <w:color w:val="auto"/>
          <w:sz w:val="24"/>
          <w:szCs w:val="24"/>
          <w:highlight w:val="none"/>
          <w:lang w:eastAsia="zh-CN"/>
        </w:rPr>
        <w:t>未经甲乙双方书面确认，任何一方不得自行变更或修改本合同。</w:t>
      </w:r>
      <w:r>
        <w:rPr>
          <w:rFonts w:hint="eastAsia" w:ascii="宋体" w:hAnsi="宋体" w:cs="宋体"/>
          <w:color w:val="auto"/>
          <w:sz w:val="24"/>
          <w:highlight w:val="none"/>
        </w:rPr>
        <w:t>如合同期未满，乙方提出解除合同的，经双方协商，可以在甲方找到新的经营者接手时退出。在甲方未找到新的经营者接手时乙方自行退出的，乙方应向甲方支付合同金额5%作为违约金。</w:t>
      </w:r>
    </w:p>
    <w:p w14:paraId="2567C5C8">
      <w:pPr>
        <w:spacing w:line="360" w:lineRule="auto"/>
        <w:ind w:firstLine="480"/>
        <w:rPr>
          <w:rFonts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因甲方原因导致中止或终止政府采购合同的，甲方应给与乙方合同金额5%的补偿（因政策变动、规划调整等外部原因导致的且采购人提前一个月书面通知乙方、包括其它不可抗力原因的除外），补偿在收到乙方相应发票后支付。</w:t>
      </w:r>
    </w:p>
    <w:p w14:paraId="5DB1748E">
      <w:pPr>
        <w:spacing w:line="360" w:lineRule="auto"/>
        <w:ind w:left="-2" w:firstLine="520"/>
        <w:rPr>
          <w:rFonts w:ascii="宋体" w:hAnsi="宋体" w:cs="宋体"/>
          <w:bCs/>
          <w:color w:val="auto"/>
          <w:sz w:val="24"/>
          <w:szCs w:val="24"/>
          <w:highlight w:val="none"/>
        </w:rPr>
      </w:pP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val="en-US" w:eastAsia="zh-CN"/>
        </w:rPr>
        <w:t>八</w:t>
      </w:r>
      <w:r>
        <w:rPr>
          <w:rFonts w:hint="eastAsia" w:ascii="宋体" w:hAnsi="宋体" w:cs="宋体"/>
          <w:bCs/>
          <w:color w:val="auto"/>
          <w:sz w:val="24"/>
          <w:szCs w:val="24"/>
          <w:highlight w:val="none"/>
        </w:rPr>
        <w:t>） 合同生效及其它</w:t>
      </w:r>
    </w:p>
    <w:p w14:paraId="317616C4">
      <w:pPr>
        <w:numPr>
          <w:ilvl w:val="0"/>
          <w:numId w:val="0"/>
        </w:numPr>
        <w:tabs>
          <w:tab w:val="left" w:pos="0"/>
          <w:tab w:val="left" w:pos="525"/>
          <w:tab w:val="left" w:pos="945"/>
        </w:tabs>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1.</w:t>
      </w:r>
      <w:r>
        <w:rPr>
          <w:rFonts w:hint="eastAsia" w:ascii="宋体" w:hAnsi="宋体" w:cs="宋体"/>
          <w:bCs/>
          <w:color w:val="auto"/>
          <w:sz w:val="24"/>
          <w:szCs w:val="24"/>
          <w:highlight w:val="none"/>
        </w:rPr>
        <w:t>合同经供需双方代表签字并盖章，且在</w:t>
      </w:r>
      <w:r>
        <w:rPr>
          <w:rFonts w:hint="eastAsia" w:ascii="宋体" w:hAnsi="宋体" w:cs="宋体"/>
          <w:bCs/>
          <w:color w:val="auto"/>
          <w:sz w:val="24"/>
          <w:szCs w:val="24"/>
          <w:highlight w:val="none"/>
          <w:lang w:eastAsia="zh-CN"/>
        </w:rPr>
        <w:t>北京中昌工程咨询有限公司</w:t>
      </w:r>
      <w:r>
        <w:rPr>
          <w:rFonts w:hint="eastAsia" w:ascii="宋体" w:hAnsi="宋体" w:cs="宋体"/>
          <w:bCs/>
          <w:color w:val="auto"/>
          <w:sz w:val="24"/>
          <w:szCs w:val="24"/>
          <w:highlight w:val="none"/>
        </w:rPr>
        <w:t>见证后即生效</w:t>
      </w:r>
      <w:r>
        <w:rPr>
          <w:rFonts w:hint="eastAsia" w:ascii="宋体" w:hAnsi="宋体" w:cs="宋体"/>
          <w:color w:val="auto"/>
          <w:sz w:val="24"/>
          <w:szCs w:val="24"/>
          <w:highlight w:val="none"/>
        </w:rPr>
        <w:t>。</w:t>
      </w:r>
    </w:p>
    <w:p w14:paraId="1F884775">
      <w:pPr>
        <w:numPr>
          <w:ilvl w:val="0"/>
          <w:numId w:val="0"/>
        </w:numPr>
        <w:tabs>
          <w:tab w:val="left" w:pos="0"/>
          <w:tab w:val="left" w:pos="525"/>
          <w:tab w:val="left" w:pos="945"/>
        </w:tabs>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2.</w:t>
      </w:r>
      <w:r>
        <w:rPr>
          <w:rFonts w:hint="eastAsia" w:ascii="宋体" w:hAnsi="宋体" w:cs="宋体"/>
          <w:bCs/>
          <w:color w:val="auto"/>
          <w:sz w:val="24"/>
          <w:szCs w:val="24"/>
          <w:highlight w:val="none"/>
        </w:rPr>
        <w:t>合同签订后供需双方即直接产生权利与义务的关系，合同执行过程中出现的问题应按照合同约定、法律法规的规定办理，在合同履行过程中，双方如有争议，由双方协调解决。如协商不能解决，双方可</w:t>
      </w:r>
      <w:r>
        <w:rPr>
          <w:rFonts w:hint="eastAsia" w:ascii="宋体" w:hAnsi="宋体" w:cs="宋体"/>
          <w:color w:val="auto"/>
          <w:sz w:val="24"/>
          <w:szCs w:val="24"/>
          <w:highlight w:val="none"/>
        </w:rPr>
        <w:t>向无锡仲裁委员会申请仲裁</w:t>
      </w:r>
      <w:r>
        <w:rPr>
          <w:rFonts w:hint="eastAsia" w:ascii="宋体" w:hAnsi="宋体" w:cs="宋体"/>
          <w:bCs/>
          <w:color w:val="auto"/>
          <w:sz w:val="24"/>
          <w:szCs w:val="24"/>
          <w:highlight w:val="none"/>
        </w:rPr>
        <w:t>，仲裁期间，除仲裁委员会要求停止履行合同或出现一方确实无法继续履行合同的情形外，本合同应继续履行。</w:t>
      </w:r>
    </w:p>
    <w:p w14:paraId="721E6D0A">
      <w:pPr>
        <w:numPr>
          <w:ilvl w:val="0"/>
          <w:numId w:val="0"/>
        </w:numPr>
        <w:tabs>
          <w:tab w:val="left" w:pos="0"/>
          <w:tab w:val="left" w:pos="525"/>
          <w:tab w:val="left" w:pos="945"/>
        </w:tabs>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3.</w:t>
      </w:r>
      <w:r>
        <w:rPr>
          <w:rFonts w:hint="eastAsia" w:ascii="宋体" w:hAnsi="宋体" w:cs="宋体"/>
          <w:bCs/>
          <w:color w:val="auto"/>
          <w:sz w:val="24"/>
          <w:szCs w:val="24"/>
          <w:highlight w:val="none"/>
        </w:rPr>
        <w:t>合同在执行过程中出现的未尽事宜，双方在不违背本合同和采购文件的原则下协商解决，协商结果以书面形式签订补充协议，且补充协议与本合同具有同等效力。如遇到国家有关政策调整、法律修改及其他不可抗力事件，导致甲、乙双方或任何一方无法履行本合同，所遗留问题由双方协商解决。</w:t>
      </w:r>
    </w:p>
    <w:p w14:paraId="43E265CC">
      <w:pPr>
        <w:numPr>
          <w:ilvl w:val="0"/>
          <w:numId w:val="0"/>
        </w:numPr>
        <w:tabs>
          <w:tab w:val="left" w:pos="0"/>
          <w:tab w:val="left" w:pos="525"/>
          <w:tab w:val="left" w:pos="945"/>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4.</w:t>
      </w:r>
      <w:r>
        <w:rPr>
          <w:rFonts w:hint="eastAsia" w:ascii="宋体" w:hAnsi="宋体" w:cs="宋体"/>
          <w:bCs/>
          <w:color w:val="auto"/>
          <w:sz w:val="24"/>
          <w:szCs w:val="24"/>
          <w:highlight w:val="none"/>
        </w:rPr>
        <w:t>供需双方确认：对本合同条款及后果均已知悉，一致确认不存在欺诈、胁迫、乘人之危、重大误解、显失公平等任何可能导致合同无效或被撤销的情形。</w:t>
      </w:r>
    </w:p>
    <w:p w14:paraId="54CA7AE6">
      <w:pPr>
        <w:pStyle w:val="237"/>
        <w:spacing w:line="360" w:lineRule="auto"/>
        <w:jc w:val="left"/>
        <w:rPr>
          <w:rFonts w:hint="default" w:eastAsia="宋体"/>
          <w:color w:val="auto"/>
          <w:highlight w:val="none"/>
          <w:lang w:val="en-US" w:eastAsia="zh-CN"/>
        </w:rPr>
      </w:pPr>
      <w:r>
        <w:rPr>
          <w:rFonts w:hint="eastAsia" w:ascii="宋体" w:hAnsi="宋体" w:cs="宋体"/>
          <w:bCs/>
          <w:color w:val="auto"/>
          <w:sz w:val="24"/>
          <w:szCs w:val="24"/>
          <w:highlight w:val="none"/>
          <w:lang w:val="en-US" w:eastAsia="zh-CN"/>
        </w:rPr>
        <w:t>5.</w:t>
      </w:r>
      <w:r>
        <w:rPr>
          <w:rFonts w:hint="eastAsia" w:ascii="宋体" w:hAnsi="宋体"/>
          <w:color w:val="auto"/>
          <w:sz w:val="24"/>
          <w:highlight w:val="none"/>
        </w:rPr>
        <w:t>合同中未有约定的按照有关的法律法规以及国家行业标准或技术文件规定予以解决。</w:t>
      </w:r>
    </w:p>
    <w:p w14:paraId="36623749">
      <w:pPr>
        <w:numPr>
          <w:ilvl w:val="0"/>
          <w:numId w:val="0"/>
        </w:numPr>
        <w:tabs>
          <w:tab w:val="left" w:pos="0"/>
          <w:tab w:val="left" w:pos="525"/>
          <w:tab w:val="left" w:pos="945"/>
        </w:tabs>
        <w:spacing w:line="360" w:lineRule="auto"/>
        <w:jc w:val="left"/>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九</w:t>
      </w:r>
      <w:r>
        <w:rPr>
          <w:rFonts w:hint="eastAsia" w:ascii="宋体" w:hAnsi="宋体" w:cs="宋体"/>
          <w:bCs/>
          <w:color w:val="auto"/>
          <w:sz w:val="24"/>
          <w:szCs w:val="24"/>
          <w:highlight w:val="none"/>
          <w:lang w:eastAsia="zh-CN"/>
        </w:rPr>
        <w:t>）免责条款</w:t>
      </w:r>
    </w:p>
    <w:p w14:paraId="13F5DA56">
      <w:pPr>
        <w:numPr>
          <w:ilvl w:val="0"/>
          <w:numId w:val="0"/>
        </w:numPr>
        <w:tabs>
          <w:tab w:val="left" w:pos="0"/>
          <w:tab w:val="left" w:pos="525"/>
          <w:tab w:val="left" w:pos="945"/>
        </w:tabs>
        <w:spacing w:line="360" w:lineRule="auto"/>
        <w:ind w:firstLine="480"/>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因不可抗力导致甲乙双方或一方不能履行或不能完全履行本合同项下有关义务时，双方相互不承担违约责任。但遇有不可抗力的一方或双方应于不可抗力发生后15 日内将情况告知对方，并提供有关部门的证明。在不可抗力影响消除后的合理时间内，一方或双方应当继续履行合同。</w:t>
      </w:r>
    </w:p>
    <w:p w14:paraId="6E4FFE7E">
      <w:pPr>
        <w:numPr>
          <w:ilvl w:val="0"/>
          <w:numId w:val="0"/>
        </w:numPr>
        <w:tabs>
          <w:tab w:val="left" w:pos="0"/>
          <w:tab w:val="left" w:pos="525"/>
          <w:tab w:val="left" w:pos="945"/>
        </w:tabs>
        <w:spacing w:line="360" w:lineRule="auto"/>
        <w:jc w:val="lef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十</w:t>
      </w:r>
      <w:r>
        <w:rPr>
          <w:rFonts w:hint="eastAsia" w:ascii="宋体" w:hAnsi="宋体" w:eastAsia="宋体" w:cs="宋体"/>
          <w:bCs/>
          <w:color w:val="auto"/>
          <w:sz w:val="24"/>
          <w:szCs w:val="24"/>
          <w:highlight w:val="none"/>
          <w:lang w:eastAsia="zh-CN"/>
        </w:rPr>
        <w:t>）双方对其他有关事项的约定</w:t>
      </w:r>
    </w:p>
    <w:p w14:paraId="4F7FC02C">
      <w:pPr>
        <w:numPr>
          <w:ilvl w:val="0"/>
          <w:numId w:val="0"/>
        </w:numPr>
        <w:tabs>
          <w:tab w:val="left" w:pos="0"/>
          <w:tab w:val="left" w:pos="525"/>
          <w:tab w:val="left" w:pos="945"/>
        </w:tabs>
        <w:spacing w:line="360" w:lineRule="auto"/>
        <w:ind w:firstLine="48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1.本合同自双方法定代表人或者被授权委托人签字盖章后生效。本合同一式伍份，供需双方各执二份，采购代理机构一份，具有同等法律效力。</w:t>
      </w:r>
    </w:p>
    <w:p w14:paraId="2F2A41FF">
      <w:pPr>
        <w:numPr>
          <w:ilvl w:val="0"/>
          <w:numId w:val="0"/>
        </w:numPr>
        <w:tabs>
          <w:tab w:val="left" w:pos="0"/>
          <w:tab w:val="left" w:pos="525"/>
          <w:tab w:val="left" w:pos="945"/>
        </w:tabs>
        <w:spacing w:line="360" w:lineRule="auto"/>
        <w:ind w:firstLine="48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2.双方认可的来往传真、电报、会议纪要等，均为合同的组成部分，与本合同具有同等法律效力。</w:t>
      </w:r>
    </w:p>
    <w:p w14:paraId="0D33A1D9">
      <w:pPr>
        <w:numPr>
          <w:ilvl w:val="0"/>
          <w:numId w:val="0"/>
        </w:numPr>
        <w:tabs>
          <w:tab w:val="left" w:pos="0"/>
          <w:tab w:val="left" w:pos="525"/>
          <w:tab w:val="left" w:pos="945"/>
        </w:tabs>
        <w:spacing w:line="360" w:lineRule="auto"/>
        <w:ind w:firstLine="48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3.本合同未尽事宜由双方协商，协商达成一致后以书面形式作为本合同的附件与本合同有同等的法律效力。</w:t>
      </w:r>
    </w:p>
    <w:p w14:paraId="5046E351">
      <w:pPr>
        <w:spacing w:before="19" w:line="219" w:lineRule="auto"/>
        <w:ind w:left="20"/>
        <w:rPr>
          <w:rFonts w:ascii="宋体" w:hAnsi="宋体" w:eastAsia="宋体" w:cs="宋体"/>
          <w:color w:val="auto"/>
          <w:sz w:val="24"/>
          <w:szCs w:val="24"/>
          <w:highlight w:val="none"/>
        </w:rPr>
      </w:pPr>
      <w:r>
        <w:rPr>
          <w:rFonts w:ascii="宋体" w:hAnsi="宋体" w:eastAsia="宋体" w:cs="宋体"/>
          <w:color w:val="auto"/>
          <w:spacing w:val="17"/>
          <w:sz w:val="24"/>
          <w:szCs w:val="24"/>
          <w:highlight w:val="none"/>
        </w:rPr>
        <w:t>采购人(盖章</w:t>
      </w:r>
      <w:r>
        <w:rPr>
          <w:rFonts w:hint="eastAsia" w:ascii="宋体" w:hAnsi="宋体" w:cs="宋体"/>
          <w:color w:val="auto"/>
          <w:spacing w:val="17"/>
          <w:sz w:val="24"/>
          <w:szCs w:val="24"/>
          <w:highlight w:val="none"/>
          <w:lang w:eastAsia="zh-CN"/>
        </w:rPr>
        <w:t>）</w:t>
      </w:r>
      <w:r>
        <w:rPr>
          <w:rFonts w:hint="eastAsia" w:ascii="宋体" w:hAnsi="宋体" w:cs="宋体"/>
          <w:color w:val="auto"/>
          <w:spacing w:val="17"/>
          <w:sz w:val="24"/>
          <w:szCs w:val="24"/>
          <w:highlight w:val="none"/>
          <w:lang w:val="en-US" w:eastAsia="zh-CN"/>
        </w:rPr>
        <w:t xml:space="preserve">                  </w:t>
      </w:r>
      <w:r>
        <w:rPr>
          <w:rFonts w:ascii="宋体" w:hAnsi="宋体" w:eastAsia="宋体" w:cs="宋体"/>
          <w:color w:val="auto"/>
          <w:spacing w:val="21"/>
          <w:sz w:val="24"/>
          <w:szCs w:val="24"/>
          <w:highlight w:val="none"/>
        </w:rPr>
        <w:t>供应商(盖章</w:t>
      </w:r>
      <w:r>
        <w:rPr>
          <w:rFonts w:hint="eastAsia" w:ascii="宋体" w:hAnsi="宋体" w:eastAsia="宋体" w:cs="宋体"/>
          <w:color w:val="auto"/>
          <w:spacing w:val="21"/>
          <w:sz w:val="24"/>
          <w:szCs w:val="24"/>
          <w:highlight w:val="none"/>
          <w:lang w:val="en-US" w:eastAsia="zh-CN"/>
        </w:rPr>
        <w:t>)</w:t>
      </w:r>
      <w:r>
        <w:rPr>
          <w:rFonts w:ascii="宋体" w:hAnsi="宋体" w:eastAsia="宋体" w:cs="宋体"/>
          <w:color w:val="auto"/>
          <w:spacing w:val="30"/>
          <w:sz w:val="24"/>
          <w:szCs w:val="24"/>
          <w:highlight w:val="none"/>
        </w:rPr>
        <w:t xml:space="preserve">   </w:t>
      </w:r>
    </w:p>
    <w:p w14:paraId="36FF7140">
      <w:pPr>
        <w:spacing w:before="19" w:line="219" w:lineRule="auto"/>
        <w:ind w:left="20"/>
        <w:rPr>
          <w:rFonts w:hint="default" w:ascii="宋体" w:hAnsi="宋体" w:eastAsia="宋体" w:cs="宋体"/>
          <w:color w:val="auto"/>
          <w:spacing w:val="17"/>
          <w:sz w:val="24"/>
          <w:szCs w:val="24"/>
          <w:highlight w:val="none"/>
          <w:lang w:val="en-US" w:eastAsia="zh-CN"/>
        </w:rPr>
      </w:pPr>
      <w:r>
        <w:rPr>
          <w:rFonts w:ascii="宋体" w:hAnsi="宋体" w:eastAsia="宋体" w:cs="宋体"/>
          <w:color w:val="auto"/>
          <w:spacing w:val="17"/>
          <w:sz w:val="24"/>
          <w:szCs w:val="24"/>
          <w:highlight w:val="none"/>
        </w:rPr>
        <w:t>单位地址：</w:t>
      </w:r>
      <w:r>
        <w:rPr>
          <w:rFonts w:hint="eastAsia" w:ascii="宋体" w:hAnsi="宋体" w:eastAsia="宋体" w:cs="宋体"/>
          <w:color w:val="auto"/>
          <w:spacing w:val="17"/>
          <w:sz w:val="24"/>
          <w:szCs w:val="24"/>
          <w:highlight w:val="none"/>
          <w:lang w:val="en-US" w:eastAsia="zh-CN"/>
        </w:rPr>
        <w:t xml:space="preserve">                     单位地址：                                          </w:t>
      </w:r>
    </w:p>
    <w:p w14:paraId="45F5D50C">
      <w:pPr>
        <w:spacing w:before="19" w:line="219" w:lineRule="auto"/>
        <w:ind w:left="20"/>
        <w:rPr>
          <w:rFonts w:hint="default" w:ascii="宋体" w:hAnsi="宋体" w:eastAsia="宋体" w:cs="宋体"/>
          <w:color w:val="auto"/>
          <w:spacing w:val="17"/>
          <w:sz w:val="24"/>
          <w:szCs w:val="24"/>
          <w:highlight w:val="none"/>
          <w:lang w:val="en-US" w:eastAsia="zh-CN"/>
        </w:rPr>
      </w:pPr>
      <w:r>
        <w:rPr>
          <w:rFonts w:ascii="宋体" w:hAnsi="宋体" w:eastAsia="宋体" w:cs="宋体"/>
          <w:color w:val="auto"/>
          <w:spacing w:val="17"/>
          <w:sz w:val="24"/>
          <w:szCs w:val="24"/>
          <w:highlight w:val="none"/>
        </w:rPr>
        <w:t>法定代表人</w:t>
      </w:r>
      <w:r>
        <w:rPr>
          <w:rFonts w:hint="eastAsia" w:ascii="宋体" w:hAnsi="宋体" w:eastAsia="宋体" w:cs="宋体"/>
          <w:color w:val="auto"/>
          <w:spacing w:val="17"/>
          <w:sz w:val="24"/>
          <w:szCs w:val="24"/>
          <w:highlight w:val="none"/>
          <w:lang w:val="en-US" w:eastAsia="zh-CN"/>
        </w:rPr>
        <w:t xml:space="preserve">                     </w:t>
      </w:r>
      <w:r>
        <w:rPr>
          <w:rFonts w:ascii="宋体" w:hAnsi="宋体" w:eastAsia="宋体" w:cs="宋体"/>
          <w:color w:val="auto"/>
          <w:spacing w:val="17"/>
          <w:sz w:val="24"/>
          <w:szCs w:val="24"/>
          <w:highlight w:val="none"/>
        </w:rPr>
        <w:t>法定代表人</w:t>
      </w:r>
    </w:p>
    <w:p w14:paraId="2172B81E">
      <w:pPr>
        <w:spacing w:before="19" w:line="219" w:lineRule="auto"/>
        <w:ind w:left="20"/>
        <w:rPr>
          <w:rFonts w:hint="default" w:ascii="宋体" w:hAnsi="宋体" w:eastAsia="宋体" w:cs="宋体"/>
          <w:color w:val="auto"/>
          <w:spacing w:val="17"/>
          <w:sz w:val="24"/>
          <w:szCs w:val="24"/>
          <w:highlight w:val="none"/>
          <w:lang w:val="en-US" w:eastAsia="zh-CN"/>
        </w:rPr>
      </w:pPr>
      <w:r>
        <w:rPr>
          <w:rFonts w:ascii="宋体" w:hAnsi="宋体" w:eastAsia="宋体" w:cs="宋体"/>
          <w:color w:val="auto"/>
          <w:spacing w:val="17"/>
          <w:sz w:val="24"/>
          <w:szCs w:val="24"/>
          <w:highlight w:val="none"/>
        </w:rPr>
        <w:t>或授权委托人：</w:t>
      </w:r>
      <w:r>
        <w:rPr>
          <w:rFonts w:hint="eastAsia" w:ascii="宋体" w:hAnsi="宋体" w:eastAsia="宋体" w:cs="宋体"/>
          <w:color w:val="auto"/>
          <w:spacing w:val="17"/>
          <w:sz w:val="24"/>
          <w:szCs w:val="24"/>
          <w:highlight w:val="none"/>
          <w:lang w:val="en-US" w:eastAsia="zh-CN"/>
        </w:rPr>
        <w:t xml:space="preserve">                 </w:t>
      </w:r>
      <w:r>
        <w:rPr>
          <w:rFonts w:ascii="宋体" w:hAnsi="宋体" w:eastAsia="宋体" w:cs="宋体"/>
          <w:color w:val="auto"/>
          <w:spacing w:val="17"/>
          <w:sz w:val="24"/>
          <w:szCs w:val="24"/>
          <w:highlight w:val="none"/>
        </w:rPr>
        <w:t>或授权委托人：</w:t>
      </w:r>
    </w:p>
    <w:p w14:paraId="734BCFED">
      <w:pPr>
        <w:shd w:val="clear" w:color="auto"/>
        <w:spacing w:line="360" w:lineRule="auto"/>
        <w:jc w:val="left"/>
        <w:rPr>
          <w:rFonts w:ascii="宋体" w:hAnsi="宋体" w:cs="宋体"/>
          <w:bCs/>
          <w:color w:val="auto"/>
          <w:sz w:val="24"/>
          <w:highlight w:val="none"/>
        </w:rPr>
      </w:pPr>
      <w:r>
        <w:rPr>
          <w:rFonts w:ascii="宋体" w:hAnsi="宋体" w:eastAsia="宋体" w:cs="宋体"/>
          <w:color w:val="auto"/>
          <w:spacing w:val="19"/>
          <w:sz w:val="24"/>
          <w:szCs w:val="24"/>
          <w:highlight w:val="none"/>
        </w:rPr>
        <w:t>日</w:t>
      </w:r>
      <w:r>
        <w:rPr>
          <w:rFonts w:ascii="宋体" w:hAnsi="宋体" w:eastAsia="宋体" w:cs="宋体"/>
          <w:color w:val="auto"/>
          <w:spacing w:val="3"/>
          <w:sz w:val="24"/>
          <w:szCs w:val="24"/>
          <w:highlight w:val="none"/>
        </w:rPr>
        <w:t xml:space="preserve">    </w:t>
      </w:r>
      <w:r>
        <w:rPr>
          <w:rFonts w:ascii="宋体" w:hAnsi="宋体" w:eastAsia="宋体" w:cs="宋体"/>
          <w:color w:val="auto"/>
          <w:spacing w:val="19"/>
          <w:sz w:val="24"/>
          <w:szCs w:val="24"/>
          <w:highlight w:val="none"/>
        </w:rPr>
        <w:t>期：年</w:t>
      </w:r>
      <w:r>
        <w:rPr>
          <w:rFonts w:hint="eastAsia" w:ascii="宋体" w:hAnsi="宋体" w:cs="宋体"/>
          <w:color w:val="auto"/>
          <w:spacing w:val="19"/>
          <w:sz w:val="24"/>
          <w:szCs w:val="24"/>
          <w:highlight w:val="none"/>
          <w:lang w:val="en-US" w:eastAsia="zh-CN"/>
        </w:rPr>
        <w:t xml:space="preserve"> 月 日             </w:t>
      </w:r>
      <w:r>
        <w:rPr>
          <w:rFonts w:ascii="宋体" w:hAnsi="宋体" w:eastAsia="宋体" w:cs="宋体"/>
          <w:color w:val="auto"/>
          <w:spacing w:val="19"/>
          <w:sz w:val="24"/>
          <w:szCs w:val="24"/>
          <w:highlight w:val="none"/>
        </w:rPr>
        <w:t>日</w:t>
      </w:r>
      <w:r>
        <w:rPr>
          <w:rFonts w:ascii="宋体" w:hAnsi="宋体" w:eastAsia="宋体" w:cs="宋体"/>
          <w:color w:val="auto"/>
          <w:spacing w:val="3"/>
          <w:sz w:val="24"/>
          <w:szCs w:val="24"/>
          <w:highlight w:val="none"/>
        </w:rPr>
        <w:t xml:space="preserve">    </w:t>
      </w:r>
      <w:r>
        <w:rPr>
          <w:rFonts w:ascii="宋体" w:hAnsi="宋体" w:eastAsia="宋体" w:cs="宋体"/>
          <w:color w:val="auto"/>
          <w:spacing w:val="19"/>
          <w:sz w:val="24"/>
          <w:szCs w:val="24"/>
          <w:highlight w:val="none"/>
        </w:rPr>
        <w:t>期：年</w:t>
      </w:r>
      <w:r>
        <w:rPr>
          <w:rFonts w:hint="eastAsia" w:ascii="宋体" w:hAnsi="宋体" w:eastAsia="宋体" w:cs="宋体"/>
          <w:color w:val="auto"/>
          <w:spacing w:val="19"/>
          <w:sz w:val="24"/>
          <w:szCs w:val="24"/>
          <w:highlight w:val="none"/>
          <w:lang w:val="en-US" w:eastAsia="zh-CN"/>
        </w:rPr>
        <w:t xml:space="preserve"> 月 日</w:t>
      </w:r>
      <w:r>
        <w:rPr>
          <w:rFonts w:hint="eastAsia" w:ascii="宋体" w:hAnsi="宋体"/>
          <w:bCs/>
          <w:color w:val="auto"/>
          <w:sz w:val="24"/>
          <w:highlight w:val="none"/>
        </w:rPr>
        <w:t xml:space="preserve">  </w:t>
      </w:r>
    </w:p>
    <w:p w14:paraId="3E2CC9DC">
      <w:pPr>
        <w:pBdr>
          <w:top w:val="none" w:color="000000" w:sz="0" w:space="0"/>
          <w:left w:val="none" w:color="000000" w:sz="0" w:space="0"/>
          <w:bottom w:val="none" w:color="000000" w:sz="0" w:space="0"/>
          <w:right w:val="none" w:color="000000" w:sz="0" w:space="0"/>
        </w:pBdr>
        <w:jc w:val="center"/>
        <w:rPr>
          <w:rFonts w:ascii="仿宋" w:hAnsi="仿宋" w:eastAsia="仿宋" w:cs="仿宋"/>
          <w:b/>
          <w:color w:val="auto"/>
          <w:sz w:val="28"/>
          <w:highlight w:val="none"/>
        </w:rPr>
      </w:pPr>
    </w:p>
    <w:p w14:paraId="39107055">
      <w:pPr>
        <w:pBdr>
          <w:top w:val="none" w:color="000000" w:sz="0" w:space="0"/>
          <w:left w:val="none" w:color="000000" w:sz="0" w:space="0"/>
          <w:bottom w:val="none" w:color="000000" w:sz="0" w:space="0"/>
          <w:right w:val="none" w:color="000000" w:sz="0" w:space="0"/>
        </w:pBdr>
        <w:jc w:val="center"/>
        <w:rPr>
          <w:rFonts w:ascii="仿宋" w:hAnsi="仿宋" w:eastAsia="仿宋" w:cs="仿宋"/>
          <w:b/>
          <w:color w:val="auto"/>
          <w:sz w:val="28"/>
          <w:highlight w:val="none"/>
        </w:rPr>
      </w:pPr>
    </w:p>
    <w:p w14:paraId="33AB716A">
      <w:pPr>
        <w:pBdr>
          <w:top w:val="none" w:color="000000" w:sz="0" w:space="0"/>
          <w:left w:val="none" w:color="000000" w:sz="0" w:space="0"/>
          <w:bottom w:val="none" w:color="000000" w:sz="0" w:space="0"/>
          <w:right w:val="none" w:color="000000" w:sz="0" w:space="0"/>
        </w:pBdr>
        <w:jc w:val="center"/>
        <w:rPr>
          <w:rFonts w:ascii="仿宋" w:hAnsi="仿宋" w:eastAsia="仿宋" w:cs="仿宋"/>
          <w:b/>
          <w:color w:val="auto"/>
          <w:sz w:val="28"/>
          <w:highlight w:val="none"/>
        </w:rPr>
      </w:pPr>
    </w:p>
    <w:p w14:paraId="56CA5609">
      <w:pPr>
        <w:pBdr>
          <w:top w:val="none" w:color="000000" w:sz="0" w:space="0"/>
          <w:left w:val="none" w:color="000000" w:sz="0" w:space="0"/>
          <w:bottom w:val="none" w:color="000000" w:sz="0" w:space="0"/>
          <w:right w:val="none" w:color="000000" w:sz="0" w:space="0"/>
        </w:pBdr>
        <w:jc w:val="center"/>
        <w:rPr>
          <w:rFonts w:ascii="仿宋" w:hAnsi="仿宋" w:eastAsia="仿宋" w:cs="仿宋"/>
          <w:b/>
          <w:color w:val="auto"/>
          <w:sz w:val="28"/>
          <w:highlight w:val="none"/>
        </w:rPr>
      </w:pPr>
    </w:p>
    <w:p w14:paraId="4B567F9F">
      <w:pPr>
        <w:pBdr>
          <w:top w:val="none" w:color="000000" w:sz="0" w:space="0"/>
          <w:left w:val="none" w:color="000000" w:sz="0" w:space="0"/>
          <w:bottom w:val="none" w:color="000000" w:sz="0" w:space="0"/>
          <w:right w:val="none" w:color="000000" w:sz="0" w:space="0"/>
        </w:pBdr>
        <w:jc w:val="center"/>
        <w:rPr>
          <w:rFonts w:ascii="仿宋" w:hAnsi="仿宋" w:eastAsia="仿宋" w:cs="仿宋"/>
          <w:b/>
          <w:color w:val="auto"/>
          <w:sz w:val="28"/>
          <w:highlight w:val="none"/>
        </w:rPr>
      </w:pPr>
    </w:p>
    <w:p w14:paraId="5144AA20">
      <w:pPr>
        <w:pBdr>
          <w:top w:val="none" w:color="000000" w:sz="0" w:space="0"/>
          <w:left w:val="none" w:color="000000" w:sz="0" w:space="0"/>
          <w:bottom w:val="none" w:color="000000" w:sz="0" w:space="0"/>
          <w:right w:val="none" w:color="000000" w:sz="0" w:space="0"/>
        </w:pBdr>
        <w:jc w:val="center"/>
        <w:rPr>
          <w:rFonts w:ascii="仿宋" w:hAnsi="仿宋" w:eastAsia="仿宋" w:cs="仿宋"/>
          <w:b/>
          <w:color w:val="auto"/>
          <w:sz w:val="28"/>
          <w:highlight w:val="none"/>
        </w:rPr>
      </w:pPr>
    </w:p>
    <w:p w14:paraId="3FE9A647">
      <w:pPr>
        <w:pBdr>
          <w:top w:val="none" w:color="000000" w:sz="0" w:space="0"/>
          <w:left w:val="none" w:color="000000" w:sz="0" w:space="0"/>
          <w:bottom w:val="none" w:color="000000" w:sz="0" w:space="0"/>
          <w:right w:val="none" w:color="000000" w:sz="0" w:space="0"/>
        </w:pBdr>
        <w:jc w:val="center"/>
        <w:rPr>
          <w:rFonts w:ascii="仿宋" w:hAnsi="仿宋" w:eastAsia="仿宋" w:cs="仿宋"/>
          <w:b/>
          <w:color w:val="auto"/>
          <w:sz w:val="28"/>
          <w:highlight w:val="none"/>
        </w:rPr>
      </w:pPr>
    </w:p>
    <w:p w14:paraId="1C6AAAF1">
      <w:pPr>
        <w:pBdr>
          <w:top w:val="none" w:color="000000" w:sz="0" w:space="0"/>
          <w:left w:val="none" w:color="000000" w:sz="0" w:space="0"/>
          <w:bottom w:val="none" w:color="000000" w:sz="0" w:space="0"/>
          <w:right w:val="none" w:color="000000" w:sz="0" w:space="0"/>
        </w:pBdr>
        <w:jc w:val="center"/>
        <w:rPr>
          <w:rFonts w:ascii="仿宋" w:hAnsi="仿宋" w:eastAsia="仿宋" w:cs="仿宋"/>
          <w:b/>
          <w:color w:val="auto"/>
          <w:sz w:val="28"/>
          <w:highlight w:val="none"/>
        </w:rPr>
      </w:pPr>
    </w:p>
    <w:p w14:paraId="608D0D14">
      <w:pPr>
        <w:pBdr>
          <w:top w:val="none" w:color="000000" w:sz="0" w:space="0"/>
          <w:left w:val="none" w:color="000000" w:sz="0" w:space="0"/>
          <w:bottom w:val="none" w:color="000000" w:sz="0" w:space="0"/>
          <w:right w:val="none" w:color="000000" w:sz="0" w:space="0"/>
        </w:pBdr>
        <w:jc w:val="center"/>
        <w:rPr>
          <w:rFonts w:ascii="仿宋" w:hAnsi="仿宋" w:eastAsia="仿宋" w:cs="仿宋"/>
          <w:b/>
          <w:color w:val="auto"/>
          <w:sz w:val="28"/>
          <w:highlight w:val="none"/>
        </w:rPr>
      </w:pPr>
    </w:p>
    <w:p w14:paraId="7BF4BD1C">
      <w:pPr>
        <w:pBdr>
          <w:top w:val="none" w:color="000000" w:sz="0" w:space="0"/>
          <w:left w:val="none" w:color="000000" w:sz="0" w:space="0"/>
          <w:bottom w:val="none" w:color="000000" w:sz="0" w:space="0"/>
          <w:right w:val="none" w:color="000000" w:sz="0" w:space="0"/>
        </w:pBdr>
        <w:jc w:val="center"/>
        <w:rPr>
          <w:rFonts w:ascii="仿宋" w:hAnsi="仿宋" w:eastAsia="仿宋" w:cs="仿宋"/>
          <w:b/>
          <w:color w:val="auto"/>
          <w:sz w:val="28"/>
          <w:highlight w:val="none"/>
        </w:rPr>
      </w:pPr>
    </w:p>
    <w:p w14:paraId="1F4242E5">
      <w:pPr>
        <w:pBdr>
          <w:top w:val="none" w:color="000000" w:sz="0" w:space="0"/>
          <w:left w:val="none" w:color="000000" w:sz="0" w:space="0"/>
          <w:bottom w:val="none" w:color="000000" w:sz="0" w:space="0"/>
          <w:right w:val="none" w:color="000000" w:sz="0" w:space="0"/>
        </w:pBdr>
        <w:jc w:val="center"/>
        <w:rPr>
          <w:rFonts w:ascii="仿宋" w:hAnsi="仿宋" w:eastAsia="仿宋" w:cs="仿宋"/>
          <w:b/>
          <w:color w:val="auto"/>
          <w:sz w:val="28"/>
          <w:highlight w:val="none"/>
        </w:rPr>
      </w:pPr>
    </w:p>
    <w:p w14:paraId="552AFCF7">
      <w:pPr>
        <w:pBdr>
          <w:top w:val="none" w:color="000000" w:sz="0" w:space="0"/>
          <w:left w:val="none" w:color="000000" w:sz="0" w:space="0"/>
          <w:bottom w:val="none" w:color="000000" w:sz="0" w:space="0"/>
          <w:right w:val="none" w:color="000000" w:sz="0" w:space="0"/>
        </w:pBdr>
        <w:jc w:val="center"/>
        <w:rPr>
          <w:rFonts w:ascii="仿宋" w:hAnsi="仿宋" w:eastAsia="仿宋" w:cs="仿宋"/>
          <w:b/>
          <w:color w:val="auto"/>
          <w:sz w:val="28"/>
          <w:highlight w:val="none"/>
        </w:rPr>
      </w:pPr>
    </w:p>
    <w:p w14:paraId="5E63AE42">
      <w:pPr>
        <w:pBdr>
          <w:top w:val="none" w:color="000000" w:sz="0" w:space="0"/>
          <w:left w:val="none" w:color="000000" w:sz="0" w:space="0"/>
          <w:bottom w:val="none" w:color="000000" w:sz="0" w:space="0"/>
          <w:right w:val="none" w:color="000000" w:sz="0" w:space="0"/>
        </w:pBdr>
        <w:jc w:val="center"/>
        <w:rPr>
          <w:rFonts w:ascii="仿宋" w:hAnsi="仿宋" w:eastAsia="仿宋" w:cs="仿宋"/>
          <w:b/>
          <w:color w:val="auto"/>
          <w:sz w:val="28"/>
          <w:highlight w:val="none"/>
        </w:rPr>
      </w:pPr>
    </w:p>
    <w:p w14:paraId="6111CABE">
      <w:pPr>
        <w:pBdr>
          <w:top w:val="none" w:color="000000" w:sz="0" w:space="0"/>
          <w:left w:val="none" w:color="000000" w:sz="0" w:space="0"/>
          <w:bottom w:val="none" w:color="000000" w:sz="0" w:space="0"/>
          <w:right w:val="none" w:color="000000" w:sz="0" w:space="0"/>
        </w:pBdr>
        <w:jc w:val="center"/>
        <w:rPr>
          <w:rFonts w:ascii="仿宋" w:hAnsi="仿宋" w:eastAsia="仿宋" w:cs="仿宋"/>
          <w:b/>
          <w:color w:val="auto"/>
          <w:sz w:val="28"/>
          <w:highlight w:val="none"/>
        </w:rPr>
      </w:pPr>
    </w:p>
    <w:p w14:paraId="28276BB1">
      <w:pPr>
        <w:pBdr>
          <w:top w:val="none" w:color="000000" w:sz="0" w:space="0"/>
          <w:left w:val="none" w:color="000000" w:sz="0" w:space="0"/>
          <w:bottom w:val="none" w:color="000000" w:sz="0" w:space="0"/>
          <w:right w:val="none" w:color="000000" w:sz="0" w:space="0"/>
        </w:pBdr>
        <w:jc w:val="center"/>
        <w:rPr>
          <w:rFonts w:ascii="仿宋" w:hAnsi="仿宋" w:eastAsia="仿宋" w:cs="仿宋"/>
          <w:b/>
          <w:color w:val="auto"/>
          <w:sz w:val="28"/>
          <w:highlight w:val="none"/>
        </w:rPr>
      </w:pPr>
    </w:p>
    <w:p w14:paraId="403FD5C2">
      <w:pPr>
        <w:pBdr>
          <w:top w:val="none" w:color="000000" w:sz="0" w:space="0"/>
          <w:left w:val="none" w:color="000000" w:sz="0" w:space="0"/>
          <w:bottom w:val="none" w:color="000000" w:sz="0" w:space="0"/>
          <w:right w:val="none" w:color="000000" w:sz="0" w:space="0"/>
        </w:pBdr>
        <w:jc w:val="center"/>
        <w:rPr>
          <w:rFonts w:ascii="仿宋" w:hAnsi="仿宋" w:eastAsia="仿宋" w:cs="仿宋"/>
          <w:b/>
          <w:color w:val="auto"/>
          <w:sz w:val="28"/>
          <w:highlight w:val="none"/>
        </w:rPr>
      </w:pPr>
    </w:p>
    <w:p w14:paraId="734910D9">
      <w:pPr>
        <w:pBdr>
          <w:top w:val="none" w:color="000000" w:sz="0" w:space="0"/>
          <w:left w:val="none" w:color="000000" w:sz="0" w:space="0"/>
          <w:bottom w:val="none" w:color="000000" w:sz="0" w:space="0"/>
          <w:right w:val="none" w:color="000000" w:sz="0" w:space="0"/>
        </w:pBdr>
        <w:jc w:val="center"/>
        <w:rPr>
          <w:rFonts w:ascii="仿宋" w:hAnsi="仿宋" w:eastAsia="仿宋" w:cs="仿宋"/>
          <w:b/>
          <w:color w:val="auto"/>
          <w:sz w:val="28"/>
          <w:highlight w:val="none"/>
        </w:rPr>
      </w:pPr>
    </w:p>
    <w:p w14:paraId="2E69E7A9">
      <w:pPr>
        <w:pBdr>
          <w:top w:val="none" w:color="000000" w:sz="0" w:space="0"/>
          <w:left w:val="none" w:color="000000" w:sz="0" w:space="0"/>
          <w:bottom w:val="none" w:color="000000" w:sz="0" w:space="0"/>
          <w:right w:val="none" w:color="000000" w:sz="0" w:space="0"/>
        </w:pBdr>
        <w:jc w:val="center"/>
        <w:rPr>
          <w:rFonts w:ascii="仿宋" w:hAnsi="仿宋" w:eastAsia="仿宋" w:cs="仿宋"/>
          <w:b/>
          <w:color w:val="auto"/>
          <w:sz w:val="28"/>
          <w:highlight w:val="none"/>
        </w:rPr>
      </w:pPr>
    </w:p>
    <w:p w14:paraId="585D4B26">
      <w:pPr>
        <w:pBdr>
          <w:top w:val="none" w:color="000000" w:sz="0" w:space="0"/>
          <w:left w:val="none" w:color="000000" w:sz="0" w:space="0"/>
          <w:bottom w:val="none" w:color="000000" w:sz="0" w:space="0"/>
          <w:right w:val="none" w:color="000000" w:sz="0" w:space="0"/>
        </w:pBdr>
        <w:jc w:val="center"/>
        <w:rPr>
          <w:rFonts w:ascii="仿宋" w:hAnsi="仿宋" w:eastAsia="仿宋" w:cs="仿宋"/>
          <w:b/>
          <w:color w:val="auto"/>
          <w:sz w:val="28"/>
          <w:highlight w:val="none"/>
        </w:rPr>
      </w:pPr>
    </w:p>
    <w:p w14:paraId="4C84A0DE">
      <w:pPr>
        <w:pBdr>
          <w:top w:val="none" w:color="000000" w:sz="0" w:space="0"/>
          <w:left w:val="none" w:color="000000" w:sz="0" w:space="0"/>
          <w:bottom w:val="none" w:color="000000" w:sz="0" w:space="0"/>
          <w:right w:val="none" w:color="000000" w:sz="0" w:space="0"/>
        </w:pBdr>
        <w:jc w:val="center"/>
        <w:rPr>
          <w:rFonts w:ascii="仿宋" w:hAnsi="仿宋" w:eastAsia="仿宋" w:cs="仿宋"/>
          <w:b/>
          <w:color w:val="auto"/>
          <w:sz w:val="28"/>
          <w:highlight w:val="none"/>
        </w:rPr>
      </w:pPr>
    </w:p>
    <w:p w14:paraId="635B3EF9">
      <w:pPr>
        <w:pBdr>
          <w:top w:val="none" w:color="000000" w:sz="0" w:space="0"/>
          <w:left w:val="none" w:color="000000" w:sz="0" w:space="0"/>
          <w:bottom w:val="none" w:color="000000" w:sz="0" w:space="0"/>
          <w:right w:val="none" w:color="000000" w:sz="0" w:space="0"/>
        </w:pBdr>
        <w:jc w:val="center"/>
        <w:rPr>
          <w:rFonts w:ascii="仿宋" w:hAnsi="仿宋" w:eastAsia="仿宋" w:cs="仿宋"/>
          <w:b/>
          <w:color w:val="auto"/>
          <w:sz w:val="28"/>
          <w:highlight w:val="none"/>
        </w:rPr>
      </w:pPr>
    </w:p>
    <w:p w14:paraId="2C0E3D57">
      <w:pPr>
        <w:pBdr>
          <w:top w:val="none" w:color="000000" w:sz="0" w:space="0"/>
          <w:left w:val="none" w:color="000000" w:sz="0" w:space="0"/>
          <w:bottom w:val="none" w:color="000000" w:sz="0" w:space="0"/>
          <w:right w:val="none" w:color="000000" w:sz="0" w:space="0"/>
        </w:pBdr>
        <w:jc w:val="center"/>
        <w:rPr>
          <w:rFonts w:ascii="仿宋" w:hAnsi="仿宋" w:eastAsia="仿宋" w:cs="仿宋"/>
          <w:b/>
          <w:color w:val="auto"/>
          <w:sz w:val="28"/>
          <w:highlight w:val="none"/>
        </w:rPr>
      </w:pPr>
    </w:p>
    <w:p w14:paraId="148448B9">
      <w:pPr>
        <w:pBdr>
          <w:top w:val="none" w:color="000000" w:sz="0" w:space="0"/>
          <w:left w:val="none" w:color="000000" w:sz="0" w:space="0"/>
          <w:bottom w:val="none" w:color="000000" w:sz="0" w:space="0"/>
          <w:right w:val="none" w:color="000000" w:sz="0" w:space="0"/>
        </w:pBdr>
        <w:jc w:val="center"/>
        <w:rPr>
          <w:rFonts w:ascii="仿宋" w:hAnsi="仿宋" w:eastAsia="仿宋" w:cs="仿宋"/>
          <w:b/>
          <w:color w:val="auto"/>
          <w:sz w:val="28"/>
          <w:highlight w:val="none"/>
        </w:rPr>
      </w:pPr>
    </w:p>
    <w:p w14:paraId="0848A3D6">
      <w:pPr>
        <w:pBdr>
          <w:top w:val="none" w:color="000000" w:sz="0" w:space="0"/>
          <w:left w:val="none" w:color="000000" w:sz="0" w:space="0"/>
          <w:bottom w:val="none" w:color="000000" w:sz="0" w:space="0"/>
          <w:right w:val="none" w:color="000000" w:sz="0" w:space="0"/>
        </w:pBdr>
        <w:jc w:val="center"/>
        <w:rPr>
          <w:rFonts w:ascii="仿宋" w:hAnsi="仿宋" w:eastAsia="仿宋" w:cs="仿宋"/>
          <w:b/>
          <w:color w:val="auto"/>
          <w:sz w:val="28"/>
          <w:highlight w:val="none"/>
        </w:rPr>
      </w:pPr>
    </w:p>
    <w:p w14:paraId="01E566C4">
      <w:pPr>
        <w:pBdr>
          <w:top w:val="none" w:color="000000" w:sz="0" w:space="0"/>
          <w:left w:val="none" w:color="000000" w:sz="0" w:space="0"/>
          <w:bottom w:val="none" w:color="000000" w:sz="0" w:space="0"/>
          <w:right w:val="none" w:color="000000" w:sz="0" w:space="0"/>
        </w:pBdr>
        <w:jc w:val="center"/>
        <w:rPr>
          <w:rFonts w:ascii="仿宋" w:hAnsi="仿宋" w:eastAsia="仿宋" w:cs="仿宋"/>
          <w:b/>
          <w:color w:val="auto"/>
          <w:sz w:val="28"/>
          <w:highlight w:val="none"/>
        </w:rPr>
      </w:pPr>
    </w:p>
    <w:p w14:paraId="64FA9C0F">
      <w:pPr>
        <w:pBdr>
          <w:top w:val="none" w:color="000000" w:sz="0" w:space="0"/>
          <w:left w:val="none" w:color="000000" w:sz="0" w:space="0"/>
          <w:bottom w:val="none" w:color="000000" w:sz="0" w:space="0"/>
          <w:right w:val="none" w:color="000000" w:sz="0" w:space="0"/>
        </w:pBdr>
        <w:jc w:val="center"/>
        <w:rPr>
          <w:rFonts w:ascii="仿宋" w:hAnsi="仿宋" w:eastAsia="仿宋" w:cs="仿宋"/>
          <w:b/>
          <w:color w:val="auto"/>
          <w:sz w:val="28"/>
          <w:highlight w:val="none"/>
        </w:rPr>
      </w:pPr>
    </w:p>
    <w:p w14:paraId="23C77E6D">
      <w:pPr>
        <w:pBdr>
          <w:top w:val="none" w:color="000000" w:sz="0" w:space="0"/>
          <w:left w:val="none" w:color="000000" w:sz="0" w:space="0"/>
          <w:bottom w:val="none" w:color="000000" w:sz="0" w:space="0"/>
          <w:right w:val="none" w:color="000000" w:sz="0" w:space="0"/>
        </w:pBdr>
        <w:jc w:val="center"/>
        <w:rPr>
          <w:rFonts w:ascii="仿宋" w:hAnsi="仿宋" w:eastAsia="仿宋" w:cs="仿宋"/>
          <w:b/>
          <w:color w:val="auto"/>
          <w:sz w:val="28"/>
          <w:highlight w:val="none"/>
        </w:rPr>
      </w:pPr>
    </w:p>
    <w:p w14:paraId="4D6BBB6B">
      <w:pPr>
        <w:pBdr>
          <w:top w:val="none" w:color="000000" w:sz="0" w:space="0"/>
          <w:left w:val="none" w:color="000000" w:sz="0" w:space="0"/>
          <w:bottom w:val="none" w:color="000000" w:sz="0" w:space="0"/>
          <w:right w:val="none" w:color="000000" w:sz="0" w:space="0"/>
        </w:pBdr>
        <w:jc w:val="center"/>
        <w:rPr>
          <w:rFonts w:ascii="仿宋" w:hAnsi="仿宋" w:eastAsia="仿宋" w:cs="仿宋"/>
          <w:b/>
          <w:color w:val="auto"/>
          <w:sz w:val="28"/>
          <w:highlight w:val="none"/>
        </w:rPr>
      </w:pPr>
    </w:p>
    <w:p w14:paraId="0E849FA7">
      <w:pPr>
        <w:pBdr>
          <w:top w:val="none" w:color="000000" w:sz="0" w:space="0"/>
          <w:left w:val="none" w:color="000000" w:sz="0" w:space="0"/>
          <w:bottom w:val="none" w:color="000000" w:sz="0" w:space="0"/>
          <w:right w:val="none" w:color="000000" w:sz="0" w:space="0"/>
        </w:pBdr>
        <w:jc w:val="center"/>
        <w:rPr>
          <w:rFonts w:ascii="仿宋" w:hAnsi="仿宋" w:eastAsia="仿宋" w:cs="仿宋"/>
          <w:b/>
          <w:color w:val="auto"/>
          <w:sz w:val="28"/>
          <w:highlight w:val="none"/>
        </w:rPr>
      </w:pPr>
    </w:p>
    <w:p w14:paraId="20C9C1B9">
      <w:pPr>
        <w:pBdr>
          <w:top w:val="none" w:color="000000" w:sz="0" w:space="0"/>
          <w:left w:val="none" w:color="000000" w:sz="0" w:space="0"/>
          <w:bottom w:val="none" w:color="000000" w:sz="0" w:space="0"/>
          <w:right w:val="none" w:color="000000" w:sz="0" w:space="0"/>
        </w:pBdr>
        <w:jc w:val="center"/>
        <w:rPr>
          <w:rFonts w:ascii="仿宋" w:hAnsi="仿宋" w:eastAsia="仿宋" w:cs="仿宋"/>
          <w:b/>
          <w:color w:val="auto"/>
          <w:sz w:val="28"/>
          <w:highlight w:val="none"/>
        </w:rPr>
      </w:pPr>
    </w:p>
    <w:p w14:paraId="5ED4600A">
      <w:pPr>
        <w:pBdr>
          <w:top w:val="none" w:color="000000" w:sz="0" w:space="0"/>
          <w:left w:val="none" w:color="000000" w:sz="0" w:space="0"/>
          <w:bottom w:val="none" w:color="000000" w:sz="0" w:space="0"/>
          <w:right w:val="none" w:color="000000" w:sz="0" w:space="0"/>
        </w:pBdr>
        <w:jc w:val="center"/>
        <w:rPr>
          <w:rFonts w:ascii="仿宋" w:hAnsi="仿宋" w:eastAsia="仿宋" w:cs="仿宋"/>
          <w:b/>
          <w:color w:val="auto"/>
          <w:sz w:val="28"/>
          <w:highlight w:val="none"/>
        </w:rPr>
      </w:pPr>
    </w:p>
    <w:p w14:paraId="53934A7A">
      <w:pPr>
        <w:pBdr>
          <w:top w:val="none" w:color="000000" w:sz="0" w:space="0"/>
          <w:left w:val="none" w:color="000000" w:sz="0" w:space="0"/>
          <w:bottom w:val="none" w:color="000000" w:sz="0" w:space="0"/>
          <w:right w:val="none" w:color="000000" w:sz="0" w:space="0"/>
        </w:pBdr>
        <w:jc w:val="center"/>
        <w:rPr>
          <w:rFonts w:ascii="仿宋" w:hAnsi="仿宋" w:eastAsia="仿宋" w:cs="仿宋"/>
          <w:b/>
          <w:color w:val="auto"/>
          <w:sz w:val="28"/>
          <w:highlight w:val="none"/>
        </w:rPr>
      </w:pPr>
    </w:p>
    <w:p w14:paraId="17C1919D">
      <w:pPr>
        <w:pBdr>
          <w:top w:val="none" w:color="000000" w:sz="0" w:space="0"/>
          <w:left w:val="none" w:color="000000" w:sz="0" w:space="0"/>
          <w:bottom w:val="none" w:color="000000" w:sz="0" w:space="0"/>
          <w:right w:val="none" w:color="000000" w:sz="0" w:space="0"/>
        </w:pBdr>
        <w:jc w:val="center"/>
        <w:rPr>
          <w:rFonts w:ascii="仿宋" w:hAnsi="仿宋" w:eastAsia="仿宋" w:cs="仿宋"/>
          <w:b/>
          <w:color w:val="auto"/>
          <w:sz w:val="28"/>
          <w:highlight w:val="none"/>
        </w:rPr>
      </w:pPr>
    </w:p>
    <w:p w14:paraId="4B652BDD">
      <w:pPr>
        <w:pBdr>
          <w:top w:val="none" w:color="000000" w:sz="0" w:space="0"/>
          <w:left w:val="none" w:color="000000" w:sz="0" w:space="0"/>
          <w:bottom w:val="none" w:color="000000" w:sz="0" w:space="0"/>
          <w:right w:val="none" w:color="000000" w:sz="0" w:space="0"/>
        </w:pBdr>
        <w:jc w:val="center"/>
        <w:rPr>
          <w:rFonts w:ascii="仿宋" w:hAnsi="仿宋" w:eastAsia="仿宋" w:cs="仿宋"/>
          <w:b/>
          <w:color w:val="auto"/>
          <w:sz w:val="28"/>
          <w:highlight w:val="none"/>
        </w:rPr>
      </w:pPr>
    </w:p>
    <w:p w14:paraId="6AC90112">
      <w:pPr>
        <w:pBdr>
          <w:top w:val="none" w:color="000000" w:sz="0" w:space="0"/>
          <w:left w:val="none" w:color="000000" w:sz="0" w:space="0"/>
          <w:bottom w:val="none" w:color="000000" w:sz="0" w:space="0"/>
          <w:right w:val="none" w:color="000000" w:sz="0" w:space="0"/>
        </w:pBdr>
        <w:jc w:val="center"/>
        <w:rPr>
          <w:rFonts w:ascii="仿宋" w:hAnsi="仿宋" w:eastAsia="仿宋" w:cs="仿宋"/>
          <w:b/>
          <w:color w:val="auto"/>
          <w:sz w:val="28"/>
          <w:highlight w:val="none"/>
        </w:rPr>
      </w:pPr>
    </w:p>
    <w:p w14:paraId="7375145D">
      <w:pPr>
        <w:pBdr>
          <w:top w:val="none" w:color="000000" w:sz="0" w:space="0"/>
          <w:left w:val="none" w:color="000000" w:sz="0" w:space="0"/>
          <w:bottom w:val="none" w:color="000000" w:sz="0" w:space="0"/>
          <w:right w:val="none" w:color="000000" w:sz="0" w:space="0"/>
        </w:pBdr>
        <w:jc w:val="center"/>
        <w:rPr>
          <w:rFonts w:ascii="仿宋" w:hAnsi="仿宋" w:eastAsia="仿宋" w:cs="仿宋"/>
          <w:b/>
          <w:color w:val="auto"/>
          <w:sz w:val="28"/>
          <w:highlight w:val="none"/>
        </w:rPr>
      </w:pPr>
    </w:p>
    <w:p w14:paraId="1D8D9F80">
      <w:pPr>
        <w:shd w:val="clear" w:color="auto"/>
        <w:spacing w:line="360" w:lineRule="auto"/>
        <w:jc w:val="left"/>
        <w:rPr>
          <w:rFonts w:ascii="宋体" w:hAnsi="宋体" w:cs="宋体"/>
          <w:b/>
          <w:bCs/>
          <w:color w:val="auto"/>
          <w:sz w:val="32"/>
          <w:szCs w:val="32"/>
          <w:highlight w:val="none"/>
        </w:rPr>
      </w:pPr>
      <w:r>
        <w:rPr>
          <w:rFonts w:hint="eastAsia" w:ascii="宋体" w:hAnsi="宋体" w:cs="宋体"/>
          <w:b/>
          <w:bCs/>
          <w:color w:val="auto"/>
          <w:sz w:val="32"/>
          <w:szCs w:val="32"/>
          <w:highlight w:val="none"/>
        </w:rPr>
        <w:t>五、附件（投标文件格式）</w:t>
      </w:r>
    </w:p>
    <w:p w14:paraId="2E8AA244">
      <w:pPr>
        <w:shd w:val="clear" w:color="auto"/>
        <w:spacing w:line="360" w:lineRule="auto"/>
        <w:outlineLvl w:val="0"/>
        <w:rPr>
          <w:rFonts w:ascii="宋体" w:hAnsi="宋体" w:cs="宋体"/>
          <w:b/>
          <w:color w:val="auto"/>
          <w:sz w:val="32"/>
          <w:szCs w:val="32"/>
          <w:highlight w:val="none"/>
        </w:rPr>
      </w:pPr>
    </w:p>
    <w:p w14:paraId="61E27F1B">
      <w:pPr>
        <w:shd w:val="clear" w:color="auto"/>
        <w:rPr>
          <w:rFonts w:ascii="宋体" w:hAnsi="宋体" w:cs="宋体"/>
          <w:bCs/>
          <w:color w:val="auto"/>
          <w:sz w:val="52"/>
          <w:szCs w:val="52"/>
          <w:highlight w:val="none"/>
        </w:rPr>
      </w:pPr>
    </w:p>
    <w:p w14:paraId="1A6D7127">
      <w:pPr>
        <w:shd w:val="clear" w:color="auto"/>
        <w:jc w:val="center"/>
        <w:rPr>
          <w:rFonts w:ascii="宋体" w:hAnsi="宋体" w:cs="宋体"/>
          <w:bCs/>
          <w:color w:val="auto"/>
          <w:sz w:val="52"/>
          <w:szCs w:val="52"/>
          <w:highlight w:val="none"/>
        </w:rPr>
      </w:pPr>
    </w:p>
    <w:p w14:paraId="412E7306">
      <w:pPr>
        <w:shd w:val="clear" w:color="auto"/>
        <w:jc w:val="center"/>
        <w:rPr>
          <w:rFonts w:ascii="宋体" w:hAnsi="宋体" w:cs="宋体"/>
          <w:bCs/>
          <w:color w:val="auto"/>
          <w:sz w:val="52"/>
          <w:szCs w:val="52"/>
          <w:highlight w:val="none"/>
        </w:rPr>
      </w:pPr>
      <w:r>
        <w:rPr>
          <w:rFonts w:hint="eastAsia" w:ascii="宋体" w:hAnsi="宋体" w:cs="宋体"/>
          <w:bCs/>
          <w:color w:val="auto"/>
          <w:sz w:val="52"/>
          <w:szCs w:val="52"/>
          <w:highlight w:val="none"/>
        </w:rPr>
        <w:t>投</w:t>
      </w:r>
    </w:p>
    <w:p w14:paraId="09BFB925">
      <w:pPr>
        <w:shd w:val="clear" w:color="auto"/>
        <w:jc w:val="center"/>
        <w:rPr>
          <w:rFonts w:ascii="宋体" w:hAnsi="宋体" w:cs="宋体"/>
          <w:bCs/>
          <w:color w:val="auto"/>
          <w:sz w:val="52"/>
          <w:szCs w:val="52"/>
          <w:highlight w:val="none"/>
        </w:rPr>
      </w:pPr>
    </w:p>
    <w:p w14:paraId="2163019B">
      <w:pPr>
        <w:shd w:val="clear" w:color="auto"/>
        <w:jc w:val="center"/>
        <w:rPr>
          <w:rFonts w:ascii="宋体" w:hAnsi="宋体" w:cs="宋体"/>
          <w:bCs/>
          <w:color w:val="auto"/>
          <w:sz w:val="52"/>
          <w:szCs w:val="52"/>
          <w:highlight w:val="none"/>
        </w:rPr>
      </w:pPr>
      <w:r>
        <w:rPr>
          <w:rFonts w:hint="eastAsia" w:ascii="宋体" w:hAnsi="宋体" w:cs="宋体"/>
          <w:bCs/>
          <w:color w:val="auto"/>
          <w:sz w:val="52"/>
          <w:szCs w:val="52"/>
          <w:highlight w:val="none"/>
        </w:rPr>
        <w:t>标</w:t>
      </w:r>
    </w:p>
    <w:p w14:paraId="0681E4AD">
      <w:pPr>
        <w:shd w:val="clear" w:color="auto"/>
        <w:jc w:val="center"/>
        <w:rPr>
          <w:rFonts w:ascii="宋体" w:hAnsi="宋体" w:cs="宋体"/>
          <w:bCs/>
          <w:color w:val="auto"/>
          <w:sz w:val="72"/>
          <w:highlight w:val="none"/>
        </w:rPr>
      </w:pPr>
    </w:p>
    <w:p w14:paraId="63D0377B">
      <w:pPr>
        <w:shd w:val="clear" w:color="auto"/>
        <w:jc w:val="center"/>
        <w:rPr>
          <w:rFonts w:ascii="宋体" w:hAnsi="宋体" w:cs="宋体"/>
          <w:bCs/>
          <w:color w:val="auto"/>
          <w:sz w:val="52"/>
          <w:szCs w:val="52"/>
          <w:highlight w:val="none"/>
        </w:rPr>
      </w:pPr>
      <w:r>
        <w:rPr>
          <w:rFonts w:hint="eastAsia" w:ascii="宋体" w:hAnsi="宋体" w:cs="宋体"/>
          <w:bCs/>
          <w:color w:val="auto"/>
          <w:sz w:val="52"/>
          <w:szCs w:val="52"/>
          <w:highlight w:val="none"/>
        </w:rPr>
        <w:t>文</w:t>
      </w:r>
    </w:p>
    <w:p w14:paraId="2D62B872">
      <w:pPr>
        <w:shd w:val="clear" w:color="auto"/>
        <w:jc w:val="center"/>
        <w:rPr>
          <w:rFonts w:ascii="宋体" w:hAnsi="宋体" w:cs="宋体"/>
          <w:bCs/>
          <w:color w:val="auto"/>
          <w:sz w:val="52"/>
          <w:szCs w:val="52"/>
          <w:highlight w:val="none"/>
        </w:rPr>
      </w:pPr>
    </w:p>
    <w:p w14:paraId="54B9EBED">
      <w:pPr>
        <w:shd w:val="clear" w:color="auto"/>
        <w:jc w:val="center"/>
        <w:rPr>
          <w:rFonts w:ascii="宋体" w:hAnsi="宋体" w:cs="宋体"/>
          <w:bCs/>
          <w:color w:val="auto"/>
          <w:sz w:val="52"/>
          <w:szCs w:val="52"/>
          <w:highlight w:val="none"/>
        </w:rPr>
      </w:pPr>
      <w:r>
        <w:rPr>
          <w:rFonts w:hint="eastAsia" w:ascii="宋体" w:hAnsi="宋体" w:cs="宋体"/>
          <w:bCs/>
          <w:color w:val="auto"/>
          <w:sz w:val="52"/>
          <w:szCs w:val="52"/>
          <w:highlight w:val="none"/>
        </w:rPr>
        <w:t>件</w:t>
      </w:r>
    </w:p>
    <w:p w14:paraId="52AAA7E8">
      <w:pPr>
        <w:shd w:val="clear" w:color="auto"/>
        <w:rPr>
          <w:rFonts w:ascii="宋体" w:hAnsi="宋体" w:cs="宋体"/>
          <w:bCs/>
          <w:color w:val="auto"/>
          <w:sz w:val="28"/>
          <w:highlight w:val="none"/>
        </w:rPr>
      </w:pPr>
    </w:p>
    <w:p w14:paraId="26045F6D">
      <w:pPr>
        <w:shd w:val="clear" w:color="auto"/>
        <w:spacing w:line="360" w:lineRule="auto"/>
        <w:ind w:firstLine="560"/>
        <w:rPr>
          <w:rFonts w:ascii="宋体" w:hAnsi="宋体" w:cs="宋体"/>
          <w:bCs/>
          <w:color w:val="auto"/>
          <w:sz w:val="28"/>
          <w:szCs w:val="28"/>
          <w:highlight w:val="none"/>
        </w:rPr>
      </w:pPr>
    </w:p>
    <w:p w14:paraId="74FB5A95">
      <w:pPr>
        <w:shd w:val="clear" w:color="auto"/>
        <w:spacing w:line="360" w:lineRule="auto"/>
        <w:ind w:firstLine="560"/>
        <w:jc w:val="center"/>
        <w:rPr>
          <w:rFonts w:ascii="宋体" w:hAnsi="宋体" w:cs="宋体"/>
          <w:bCs/>
          <w:color w:val="auto"/>
          <w:sz w:val="28"/>
          <w:szCs w:val="28"/>
          <w:highlight w:val="none"/>
        </w:rPr>
      </w:pPr>
      <w:r>
        <w:rPr>
          <w:rFonts w:hint="eastAsia" w:ascii="宋体" w:hAnsi="宋体" w:cs="宋体"/>
          <w:bCs/>
          <w:color w:val="auto"/>
          <w:sz w:val="28"/>
          <w:szCs w:val="28"/>
          <w:highlight w:val="none"/>
        </w:rPr>
        <w:t>（正本/副本）</w:t>
      </w:r>
    </w:p>
    <w:p w14:paraId="05A981EC">
      <w:pPr>
        <w:shd w:val="clear" w:color="auto"/>
        <w:spacing w:line="360" w:lineRule="auto"/>
        <w:ind w:firstLine="560"/>
        <w:rPr>
          <w:rFonts w:ascii="宋体" w:hAnsi="宋体" w:cs="宋体"/>
          <w:bCs/>
          <w:color w:val="auto"/>
          <w:sz w:val="28"/>
          <w:szCs w:val="28"/>
          <w:highlight w:val="none"/>
        </w:rPr>
      </w:pPr>
    </w:p>
    <w:p w14:paraId="2C06FE4A">
      <w:pPr>
        <w:shd w:val="clear" w:color="auto"/>
        <w:spacing w:line="360" w:lineRule="auto"/>
        <w:rPr>
          <w:rFonts w:ascii="宋体" w:hAnsi="宋体" w:cs="宋体"/>
          <w:bCs/>
          <w:color w:val="auto"/>
          <w:sz w:val="28"/>
          <w:szCs w:val="28"/>
          <w:highlight w:val="none"/>
        </w:rPr>
      </w:pPr>
    </w:p>
    <w:p w14:paraId="09ECEA6D">
      <w:pPr>
        <w:shd w:val="clear" w:color="auto"/>
        <w:spacing w:line="360" w:lineRule="auto"/>
        <w:ind w:firstLine="560"/>
        <w:rPr>
          <w:rFonts w:ascii="宋体" w:hAnsi="宋体" w:cs="宋体"/>
          <w:bCs/>
          <w:color w:val="auto"/>
          <w:sz w:val="28"/>
          <w:szCs w:val="28"/>
          <w:highlight w:val="none"/>
        </w:rPr>
      </w:pPr>
    </w:p>
    <w:p w14:paraId="5DF5751D">
      <w:pPr>
        <w:shd w:val="clear" w:color="auto"/>
        <w:spacing w:line="360" w:lineRule="auto"/>
        <w:ind w:firstLine="560"/>
        <w:rPr>
          <w:rFonts w:ascii="宋体" w:hAnsi="宋体" w:cs="宋体"/>
          <w:bCs/>
          <w:color w:val="auto"/>
          <w:sz w:val="28"/>
          <w:szCs w:val="28"/>
          <w:highlight w:val="none"/>
        </w:rPr>
      </w:pPr>
    </w:p>
    <w:p w14:paraId="653D0731">
      <w:pPr>
        <w:shd w:val="clear" w:color="auto"/>
        <w:spacing w:line="360" w:lineRule="auto"/>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政府采购编号： </w:t>
      </w:r>
    </w:p>
    <w:p w14:paraId="768027ED">
      <w:pPr>
        <w:shd w:val="clear" w:color="auto"/>
        <w:spacing w:line="360" w:lineRule="auto"/>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采购项目名称：</w:t>
      </w:r>
    </w:p>
    <w:p w14:paraId="2341D9E1">
      <w:pPr>
        <w:shd w:val="clear" w:color="auto"/>
        <w:spacing w:line="360" w:lineRule="auto"/>
        <w:ind w:firstLine="560"/>
        <w:rPr>
          <w:rFonts w:ascii="宋体" w:hAnsi="宋体" w:cs="宋体"/>
          <w:bCs/>
          <w:color w:val="auto"/>
          <w:sz w:val="28"/>
          <w:szCs w:val="28"/>
          <w:highlight w:val="none"/>
        </w:rPr>
      </w:pPr>
      <w:r>
        <w:rPr>
          <w:rFonts w:hint="eastAsia" w:ascii="宋体" w:hAnsi="宋体" w:cs="宋体"/>
          <w:bCs/>
          <w:color w:val="auto"/>
          <w:sz w:val="28"/>
          <w:szCs w:val="28"/>
          <w:highlight w:val="none"/>
        </w:rPr>
        <w:t>投标供应商：</w:t>
      </w:r>
    </w:p>
    <w:p w14:paraId="5F75B491">
      <w:pPr>
        <w:shd w:val="clear" w:color="auto"/>
        <w:rPr>
          <w:rFonts w:ascii="宋体" w:hAnsi="宋体" w:cs="宋体"/>
          <w:bCs/>
          <w:color w:val="auto"/>
          <w:sz w:val="32"/>
          <w:highlight w:val="none"/>
        </w:rPr>
      </w:pPr>
    </w:p>
    <w:p w14:paraId="643A27A3">
      <w:pPr>
        <w:shd w:val="clear" w:color="auto"/>
        <w:spacing w:line="360" w:lineRule="auto"/>
        <w:jc w:val="center"/>
        <w:rPr>
          <w:rFonts w:ascii="宋体" w:hAnsi="宋体" w:cs="宋体"/>
          <w:b/>
          <w:color w:val="auto"/>
          <w:sz w:val="32"/>
          <w:szCs w:val="32"/>
          <w:highlight w:val="none"/>
        </w:rPr>
      </w:pPr>
      <w:r>
        <w:rPr>
          <w:rFonts w:hint="eastAsia" w:ascii="宋体" w:hAnsi="宋体" w:cs="宋体"/>
          <w:bCs/>
          <w:color w:val="auto"/>
          <w:sz w:val="36"/>
          <w:szCs w:val="36"/>
          <w:highlight w:val="none"/>
        </w:rPr>
        <w:t>二○    年  月  日</w:t>
      </w:r>
    </w:p>
    <w:p w14:paraId="65EE356F">
      <w:pPr>
        <w:shd w:val="clear" w:color="auto"/>
        <w:outlineLvl w:val="0"/>
        <w:rPr>
          <w:rFonts w:ascii="宋体" w:hAnsi="宋体" w:cs="宋体"/>
          <w:bCs/>
          <w:color w:val="auto"/>
          <w:sz w:val="24"/>
          <w:highlight w:val="none"/>
        </w:rPr>
      </w:pPr>
      <w:bookmarkStart w:id="2" w:name="（报价人）法定代表人授权书（格式）"/>
      <w:bookmarkEnd w:id="2"/>
      <w:bookmarkStart w:id="3" w:name="校园网系统报价和服务承诺表（格式）"/>
      <w:bookmarkEnd w:id="3"/>
      <w:r>
        <w:rPr>
          <w:rFonts w:hint="eastAsia" w:ascii="宋体" w:hAnsi="宋体" w:cs="宋体"/>
          <w:bCs/>
          <w:color w:val="auto"/>
          <w:sz w:val="24"/>
          <w:highlight w:val="none"/>
        </w:rPr>
        <w:t>（一）投标函（格式）</w:t>
      </w:r>
    </w:p>
    <w:p w14:paraId="33BCEB17">
      <w:pPr>
        <w:shd w:val="clear" w:color="auto"/>
        <w:jc w:val="center"/>
        <w:outlineLvl w:val="0"/>
        <w:rPr>
          <w:rFonts w:ascii="宋体" w:hAnsi="宋体" w:cs="宋体"/>
          <w:bCs/>
          <w:color w:val="auto"/>
          <w:sz w:val="32"/>
          <w:szCs w:val="32"/>
          <w:highlight w:val="none"/>
        </w:rPr>
      </w:pPr>
    </w:p>
    <w:p w14:paraId="384FCF8D">
      <w:pPr>
        <w:shd w:val="clear" w:color="auto"/>
        <w:jc w:val="center"/>
        <w:outlineLvl w:val="0"/>
        <w:rPr>
          <w:rFonts w:ascii="宋体" w:hAnsi="宋体" w:cs="宋体"/>
          <w:color w:val="auto"/>
          <w:sz w:val="24"/>
          <w:highlight w:val="none"/>
        </w:rPr>
      </w:pPr>
      <w:r>
        <w:rPr>
          <w:rFonts w:hint="eastAsia" w:ascii="宋体" w:hAnsi="宋体" w:cs="宋体"/>
          <w:bCs/>
          <w:color w:val="auto"/>
          <w:sz w:val="32"/>
          <w:szCs w:val="32"/>
          <w:highlight w:val="none"/>
        </w:rPr>
        <w:t>投标函</w:t>
      </w:r>
    </w:p>
    <w:p w14:paraId="3B58F003">
      <w:pPr>
        <w:widowControl/>
        <w:shd w:val="clear" w:color="auto"/>
        <w:spacing w:before="4" w:line="460" w:lineRule="exact"/>
        <w:rPr>
          <w:rFonts w:ascii="宋体" w:hAnsi="宋体" w:cs="宋体"/>
          <w:color w:val="auto"/>
          <w:sz w:val="24"/>
          <w:highlight w:val="none"/>
        </w:rPr>
      </w:pPr>
    </w:p>
    <w:p w14:paraId="5995E8A8">
      <w:pPr>
        <w:widowControl/>
        <w:shd w:val="clear" w:color="auto"/>
        <w:spacing w:before="4" w:line="460" w:lineRule="exact"/>
        <w:rPr>
          <w:rFonts w:hint="eastAsia" w:ascii="宋体" w:hAnsi="宋体" w:eastAsia="宋体" w:cs="宋体"/>
          <w:color w:val="auto"/>
          <w:sz w:val="24"/>
          <w:szCs w:val="22"/>
          <w:highlight w:val="none"/>
          <w:lang w:eastAsia="zh-CN"/>
        </w:rPr>
      </w:pPr>
      <w:r>
        <w:rPr>
          <w:rFonts w:hint="eastAsia" w:ascii="宋体" w:hAnsi="宋体" w:cs="宋体"/>
          <w:color w:val="auto"/>
          <w:sz w:val="24"/>
          <w:szCs w:val="22"/>
          <w:highlight w:val="none"/>
        </w:rPr>
        <w:t>致：</w:t>
      </w:r>
      <w:r>
        <w:rPr>
          <w:rFonts w:hint="eastAsia" w:ascii="宋体" w:hAnsi="宋体" w:cs="宋体"/>
          <w:color w:val="auto"/>
          <w:sz w:val="24"/>
          <w:szCs w:val="22"/>
          <w:highlight w:val="none"/>
          <w:lang w:eastAsia="zh-CN"/>
        </w:rPr>
        <w:t>北京中昌工程咨询有限公司</w:t>
      </w:r>
    </w:p>
    <w:p w14:paraId="1CA05D3C">
      <w:pPr>
        <w:widowControl/>
        <w:shd w:val="clear" w:color="auto"/>
        <w:spacing w:before="4" w:line="460" w:lineRule="exact"/>
        <w:ind w:firstLine="480"/>
        <w:rPr>
          <w:rFonts w:ascii="宋体" w:hAnsi="宋体" w:cs="宋体"/>
          <w:color w:val="auto"/>
          <w:sz w:val="24"/>
          <w:szCs w:val="22"/>
          <w:highlight w:val="none"/>
        </w:rPr>
      </w:pPr>
      <w:r>
        <w:rPr>
          <w:rFonts w:hint="eastAsia" w:ascii="宋体" w:hAnsi="宋体" w:cs="宋体"/>
          <w:color w:val="auto"/>
          <w:sz w:val="24"/>
          <w:szCs w:val="22"/>
          <w:highlight w:val="none"/>
        </w:rPr>
        <w:t>一、我们收到贵方采购编号</w:t>
      </w:r>
      <w:r>
        <w:rPr>
          <w:rFonts w:hint="eastAsia" w:ascii="宋体" w:hAnsi="宋体" w:cs="宋体"/>
          <w:bCs/>
          <w:color w:val="auto"/>
          <w:sz w:val="24"/>
          <w:szCs w:val="22"/>
          <w:highlight w:val="none"/>
          <w:u w:val="single"/>
        </w:rPr>
        <w:t xml:space="preserve">             </w:t>
      </w:r>
      <w:r>
        <w:rPr>
          <w:rFonts w:hint="eastAsia" w:ascii="宋体" w:hAnsi="宋体" w:cs="宋体"/>
          <w:color w:val="auto"/>
          <w:sz w:val="24"/>
          <w:szCs w:val="22"/>
          <w:highlight w:val="none"/>
        </w:rPr>
        <w:t>采购文件，经仔细阅读和研究，我们决定参加此次</w:t>
      </w:r>
      <w:r>
        <w:rPr>
          <w:rFonts w:hint="eastAsia" w:ascii="宋体" w:hAnsi="宋体" w:cs="宋体"/>
          <w:bCs/>
          <w:color w:val="auto"/>
          <w:sz w:val="24"/>
          <w:highlight w:val="none"/>
          <w:u w:val="single"/>
        </w:rPr>
        <w:t xml:space="preserve">                  </w:t>
      </w:r>
      <w:r>
        <w:rPr>
          <w:rFonts w:hint="eastAsia" w:ascii="宋体" w:hAnsi="宋体" w:cs="宋体"/>
          <w:color w:val="auto"/>
          <w:sz w:val="24"/>
          <w:szCs w:val="22"/>
          <w:highlight w:val="none"/>
        </w:rPr>
        <w:t>的投标。</w:t>
      </w:r>
    </w:p>
    <w:p w14:paraId="390157B1">
      <w:pPr>
        <w:widowControl/>
        <w:shd w:val="clear" w:color="auto"/>
        <w:spacing w:before="4" w:line="460" w:lineRule="exact"/>
        <w:ind w:firstLine="480"/>
        <w:rPr>
          <w:rFonts w:ascii="宋体" w:hAnsi="宋体" w:cs="宋体"/>
          <w:color w:val="auto"/>
          <w:sz w:val="24"/>
          <w:szCs w:val="22"/>
          <w:highlight w:val="none"/>
        </w:rPr>
      </w:pPr>
      <w:r>
        <w:rPr>
          <w:rFonts w:hint="eastAsia" w:ascii="宋体" w:hAnsi="宋体" w:cs="宋体"/>
          <w:color w:val="auto"/>
          <w:sz w:val="24"/>
          <w:szCs w:val="22"/>
          <w:highlight w:val="none"/>
        </w:rPr>
        <w:t>二、我方愿意提供</w:t>
      </w:r>
      <w:r>
        <w:rPr>
          <w:rFonts w:hint="eastAsia" w:ascii="宋体" w:hAnsi="宋体" w:cs="宋体"/>
          <w:color w:val="auto"/>
          <w:sz w:val="24"/>
          <w:szCs w:val="22"/>
          <w:highlight w:val="none"/>
          <w:lang w:eastAsia="zh-CN"/>
        </w:rPr>
        <w:t>北京中昌工程咨询有限公司</w:t>
      </w:r>
      <w:r>
        <w:rPr>
          <w:rFonts w:hint="eastAsia" w:ascii="宋体" w:hAnsi="宋体" w:cs="宋体"/>
          <w:color w:val="auto"/>
          <w:sz w:val="24"/>
          <w:szCs w:val="22"/>
          <w:highlight w:val="none"/>
        </w:rPr>
        <w:t>在采购文件中要求的文件、资料（具体内容如下）：</w:t>
      </w:r>
    </w:p>
    <w:p w14:paraId="2AB9BB2B">
      <w:pPr>
        <w:shd w:val="clear" w:color="auto"/>
        <w:tabs>
          <w:tab w:val="left" w:pos="525"/>
          <w:tab w:val="left" w:pos="1050"/>
        </w:tabs>
        <w:spacing w:line="360" w:lineRule="auto"/>
        <w:ind w:left="550"/>
        <w:rPr>
          <w:rFonts w:ascii="宋体" w:hAnsi="宋体" w:cs="宋体"/>
          <w:bCs/>
          <w:color w:val="auto"/>
          <w:sz w:val="24"/>
          <w:highlight w:val="none"/>
        </w:rPr>
      </w:pPr>
      <w:r>
        <w:rPr>
          <w:rFonts w:hint="eastAsia" w:ascii="宋体" w:hAnsi="宋体" w:cs="宋体"/>
          <w:bCs/>
          <w:color w:val="auto"/>
          <w:sz w:val="24"/>
          <w:highlight w:val="none"/>
        </w:rPr>
        <w:t>1.投标函（格式见附件）；</w:t>
      </w:r>
    </w:p>
    <w:p w14:paraId="3F7594B1">
      <w:pPr>
        <w:shd w:val="clear" w:color="auto"/>
        <w:tabs>
          <w:tab w:val="left" w:pos="525"/>
          <w:tab w:val="left" w:pos="1050"/>
        </w:tabs>
        <w:spacing w:line="360" w:lineRule="auto"/>
        <w:ind w:left="550"/>
        <w:rPr>
          <w:rFonts w:ascii="宋体" w:hAnsi="宋体" w:cs="宋体"/>
          <w:bCs/>
          <w:color w:val="auto"/>
          <w:sz w:val="24"/>
          <w:highlight w:val="none"/>
        </w:rPr>
      </w:pPr>
      <w:r>
        <w:rPr>
          <w:rFonts w:hint="eastAsia" w:ascii="宋体" w:hAnsi="宋体" w:cs="宋体"/>
          <w:bCs/>
          <w:color w:val="auto"/>
          <w:sz w:val="24"/>
          <w:highlight w:val="none"/>
        </w:rPr>
        <w:t>2.证明文件：</w:t>
      </w:r>
    </w:p>
    <w:p w14:paraId="7BCA0084">
      <w:pPr>
        <w:shd w:val="clear" w:color="auto"/>
        <w:tabs>
          <w:tab w:val="left" w:pos="420"/>
          <w:tab w:val="left" w:pos="720"/>
          <w:tab w:val="left" w:pos="136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2.1资格、资信证明文件</w:t>
      </w:r>
      <w:r>
        <w:rPr>
          <w:rFonts w:hint="eastAsia" w:ascii="宋体" w:hAnsi="宋体" w:cs="宋体"/>
          <w:b/>
          <w:color w:val="auto"/>
          <w:sz w:val="24"/>
          <w:highlight w:val="none"/>
        </w:rPr>
        <w:t>（相关证明材料原件扫描后上传，身份证应为正、反面）</w:t>
      </w:r>
    </w:p>
    <w:p w14:paraId="299B057B">
      <w:pPr>
        <w:shd w:val="clear" w:color="auto"/>
        <w:tabs>
          <w:tab w:val="left" w:pos="1276"/>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（1）关于资格的声明函原件扫描件；</w:t>
      </w:r>
      <w:r>
        <w:rPr>
          <w:rFonts w:hint="eastAsia" w:ascii="宋体" w:hAnsi="宋体" w:cs="宋体"/>
          <w:b/>
          <w:bCs/>
          <w:color w:val="auto"/>
          <w:sz w:val="24"/>
          <w:highlight w:val="none"/>
        </w:rPr>
        <w:t>（格式见附件）</w:t>
      </w:r>
    </w:p>
    <w:p w14:paraId="04A60F60">
      <w:pPr>
        <w:shd w:val="clear" w:color="auto"/>
        <w:tabs>
          <w:tab w:val="left" w:pos="1276"/>
        </w:tabs>
        <w:spacing w:line="360" w:lineRule="auto"/>
        <w:ind w:firstLine="480"/>
        <w:rPr>
          <w:rFonts w:ascii="宋体" w:hAnsi="宋体" w:cs="宋体"/>
          <w:color w:val="auto"/>
          <w:sz w:val="24"/>
          <w:highlight w:val="none"/>
        </w:rPr>
      </w:pPr>
      <w:r>
        <w:rPr>
          <w:rFonts w:hint="eastAsia" w:ascii="宋体" w:hAnsi="宋体" w:cs="宋体"/>
          <w:bCs/>
          <w:color w:val="auto"/>
          <w:sz w:val="24"/>
          <w:highlight w:val="none"/>
        </w:rPr>
        <w:t>（2）投标</w:t>
      </w:r>
      <w:r>
        <w:rPr>
          <w:rFonts w:hint="eastAsia" w:ascii="宋体" w:hAnsi="宋体" w:cs="宋体"/>
          <w:color w:val="auto"/>
          <w:sz w:val="24"/>
          <w:highlight w:val="none"/>
        </w:rPr>
        <w:t>供应商企业营业执照</w:t>
      </w:r>
      <w:r>
        <w:rPr>
          <w:rFonts w:hint="eastAsia" w:ascii="宋体" w:hAnsi="宋体" w:cs="宋体"/>
          <w:bCs/>
          <w:color w:val="auto"/>
          <w:sz w:val="24"/>
          <w:highlight w:val="none"/>
        </w:rPr>
        <w:t>或相关部门的登记证明文件或</w:t>
      </w:r>
      <w:r>
        <w:rPr>
          <w:rFonts w:hint="eastAsia" w:ascii="宋体" w:hAnsi="宋体" w:cs="宋体"/>
          <w:color w:val="auto"/>
          <w:sz w:val="24"/>
          <w:highlight w:val="none"/>
        </w:rPr>
        <w:t>自然人</w:t>
      </w:r>
      <w:r>
        <w:rPr>
          <w:rFonts w:hint="eastAsia" w:ascii="宋体" w:hAnsi="宋体" w:cs="宋体"/>
          <w:bCs/>
          <w:color w:val="auto"/>
          <w:sz w:val="24"/>
          <w:highlight w:val="none"/>
        </w:rPr>
        <w:t>身份证明的</w:t>
      </w:r>
      <w:r>
        <w:rPr>
          <w:rFonts w:hint="eastAsia" w:ascii="宋体" w:hAnsi="宋体" w:cs="宋体"/>
          <w:color w:val="auto"/>
          <w:sz w:val="24"/>
          <w:highlight w:val="none"/>
        </w:rPr>
        <w:t>原件扫描件；</w:t>
      </w:r>
    </w:p>
    <w:p w14:paraId="58CD3823">
      <w:pPr>
        <w:shd w:val="clear" w:color="auto"/>
        <w:tabs>
          <w:tab w:val="left" w:pos="1276"/>
        </w:tabs>
        <w:spacing w:line="360" w:lineRule="auto"/>
        <w:ind w:firstLine="480"/>
        <w:rPr>
          <w:rFonts w:ascii="宋体" w:hAnsi="宋体" w:cs="宋体"/>
          <w:color w:val="auto"/>
          <w:sz w:val="24"/>
          <w:highlight w:val="none"/>
        </w:rPr>
      </w:pPr>
      <w:r>
        <w:rPr>
          <w:rFonts w:hint="eastAsia" w:ascii="宋体" w:hAnsi="宋体" w:cs="宋体"/>
          <w:bCs/>
          <w:color w:val="auto"/>
          <w:sz w:val="24"/>
          <w:highlight w:val="none"/>
        </w:rPr>
        <w:t>（3）投标供应商法定代表人授权委托书原件扫描件；</w:t>
      </w:r>
      <w:r>
        <w:rPr>
          <w:rFonts w:hint="eastAsia" w:ascii="宋体" w:hAnsi="宋体" w:cs="宋体"/>
          <w:color w:val="auto"/>
          <w:sz w:val="24"/>
          <w:highlight w:val="none"/>
        </w:rPr>
        <w:t>（</w:t>
      </w:r>
      <w:r>
        <w:rPr>
          <w:rFonts w:hint="eastAsia" w:ascii="宋体" w:hAnsi="宋体" w:cs="宋体"/>
          <w:b/>
          <w:bCs/>
          <w:color w:val="auto"/>
          <w:sz w:val="24"/>
          <w:highlight w:val="none"/>
        </w:rPr>
        <w:t>法定代表人亲自参与投标的除外，格式见附件</w:t>
      </w:r>
      <w:r>
        <w:rPr>
          <w:rFonts w:hint="eastAsia" w:ascii="宋体" w:hAnsi="宋体" w:cs="宋体"/>
          <w:color w:val="auto"/>
          <w:sz w:val="24"/>
          <w:highlight w:val="none"/>
        </w:rPr>
        <w:t>）</w:t>
      </w:r>
    </w:p>
    <w:p w14:paraId="2DC1D19D">
      <w:pPr>
        <w:shd w:val="clear" w:color="auto"/>
        <w:tabs>
          <w:tab w:val="left" w:pos="1276"/>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（4）投标供应商法定代表人身份证及法定代表人授权代表身份证原件扫描件；</w:t>
      </w:r>
    </w:p>
    <w:p w14:paraId="4E565DA4">
      <w:pPr>
        <w:shd w:val="clear" w:color="auto"/>
        <w:tabs>
          <w:tab w:val="left" w:pos="1050"/>
          <w:tab w:val="left" w:pos="120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（5）投标供应商近一年月中任意一个月份(不含投标当月) 的财务状况报告（资产负债表和利润表）</w:t>
      </w:r>
      <w:r>
        <w:rPr>
          <w:rFonts w:hint="eastAsia" w:ascii="宋体" w:hAnsi="宋体" w:cs="宋体"/>
          <w:color w:val="auto"/>
          <w:sz w:val="24"/>
          <w:highlight w:val="none"/>
        </w:rPr>
        <w:t>原件扫描件；</w:t>
      </w:r>
    </w:p>
    <w:p w14:paraId="4CA6EF33">
      <w:pPr>
        <w:shd w:val="clear" w:color="auto"/>
        <w:tabs>
          <w:tab w:val="left" w:pos="1050"/>
          <w:tab w:val="left" w:pos="120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（6）投标供应商近一年中任意一个月份(不含投标当月) 的依法缴纳税收的相关材料（提供相关主管部门证明或银行代扣证明）</w:t>
      </w:r>
      <w:r>
        <w:rPr>
          <w:rFonts w:hint="eastAsia" w:ascii="宋体" w:hAnsi="宋体" w:cs="宋体"/>
          <w:color w:val="auto"/>
          <w:sz w:val="24"/>
          <w:highlight w:val="none"/>
        </w:rPr>
        <w:t>原件扫描件；</w:t>
      </w:r>
    </w:p>
    <w:p w14:paraId="26D9CDBA">
      <w:pPr>
        <w:shd w:val="clear" w:color="auto"/>
        <w:tabs>
          <w:tab w:val="left" w:pos="360"/>
          <w:tab w:val="left" w:pos="60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（7）投标供应商</w:t>
      </w:r>
      <w:r>
        <w:rPr>
          <w:rFonts w:hint="eastAsia" w:ascii="宋体" w:hAnsi="宋体" w:cs="宋体"/>
          <w:color w:val="auto"/>
          <w:sz w:val="24"/>
          <w:highlight w:val="none"/>
        </w:rPr>
        <w:t>近</w:t>
      </w:r>
      <w:r>
        <w:rPr>
          <w:rFonts w:hint="eastAsia" w:ascii="宋体" w:hAnsi="宋体" w:cs="宋体"/>
          <w:bCs/>
          <w:color w:val="auto"/>
          <w:sz w:val="24"/>
          <w:highlight w:val="none"/>
        </w:rPr>
        <w:t>一年</w:t>
      </w:r>
      <w:r>
        <w:rPr>
          <w:rFonts w:hint="eastAsia" w:ascii="宋体" w:hAnsi="宋体" w:cs="宋体"/>
          <w:color w:val="auto"/>
          <w:sz w:val="24"/>
          <w:highlight w:val="none"/>
        </w:rPr>
        <w:t>中任意一个月（不含投标当月）</w:t>
      </w:r>
      <w:r>
        <w:rPr>
          <w:rFonts w:hint="eastAsia" w:ascii="宋体" w:hAnsi="宋体" w:cs="宋体"/>
          <w:bCs/>
          <w:color w:val="auto"/>
          <w:sz w:val="24"/>
          <w:highlight w:val="none"/>
        </w:rPr>
        <w:t>的依法缴纳社会保障资金的相关材料（提供相关主管部门证明或银行代扣证明）</w:t>
      </w:r>
      <w:r>
        <w:rPr>
          <w:rFonts w:hint="eastAsia" w:ascii="宋体" w:hAnsi="宋体" w:cs="宋体"/>
          <w:color w:val="auto"/>
          <w:sz w:val="24"/>
          <w:highlight w:val="none"/>
        </w:rPr>
        <w:t>原件扫描件；</w:t>
      </w:r>
    </w:p>
    <w:p w14:paraId="1D53F505">
      <w:pPr>
        <w:shd w:val="clear" w:color="auto"/>
        <w:tabs>
          <w:tab w:val="left" w:pos="360"/>
          <w:tab w:val="left" w:pos="60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（8）提供授权委托人由法定的社保收缴部门出具的近一年中任意一个月（不含投标当月）的投标供应商依法为其缴纳社会保险证明</w:t>
      </w:r>
      <w:r>
        <w:rPr>
          <w:rFonts w:hint="eastAsia" w:ascii="宋体" w:hAnsi="宋体" w:cs="宋体"/>
          <w:color w:val="auto"/>
          <w:sz w:val="24"/>
          <w:highlight w:val="none"/>
        </w:rPr>
        <w:t>原件扫描件</w:t>
      </w:r>
      <w:r>
        <w:rPr>
          <w:rFonts w:hint="eastAsia" w:ascii="宋体" w:hAnsi="宋体" w:cs="宋体"/>
          <w:b/>
          <w:color w:val="auto"/>
          <w:sz w:val="24"/>
          <w:highlight w:val="none"/>
        </w:rPr>
        <w:t>（</w:t>
      </w:r>
      <w:r>
        <w:rPr>
          <w:rFonts w:hint="eastAsia" w:ascii="宋体" w:hAnsi="宋体" w:cs="宋体"/>
          <w:b/>
          <w:bCs/>
          <w:color w:val="auto"/>
          <w:sz w:val="24"/>
          <w:highlight w:val="none"/>
        </w:rPr>
        <w:t>网上查询带有二维码/验证码的打印件可作原件使用，如投标供应商成立时间迟于要求开始的时间，则提供成立时间至采购文件中社保要求的截止时间内的社保缴费证明</w:t>
      </w:r>
      <w:r>
        <w:rPr>
          <w:rFonts w:hint="eastAsia" w:ascii="宋体" w:hAnsi="宋体" w:cs="宋体"/>
          <w:b/>
          <w:color w:val="auto"/>
          <w:sz w:val="24"/>
          <w:highlight w:val="none"/>
        </w:rPr>
        <w:t>）</w:t>
      </w:r>
    </w:p>
    <w:p w14:paraId="08102073">
      <w:pPr>
        <w:shd w:val="clear" w:color="auto"/>
        <w:tabs>
          <w:tab w:val="left" w:pos="1050"/>
          <w:tab w:val="left" w:pos="1200"/>
          <w:tab w:val="left" w:pos="1365"/>
        </w:tabs>
        <w:spacing w:line="360" w:lineRule="auto"/>
        <w:ind w:firstLine="480"/>
        <w:rPr>
          <w:rFonts w:ascii="宋体" w:hAnsi="宋体" w:cs="宋体"/>
          <w:b/>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9</w:t>
      </w:r>
      <w:r>
        <w:rPr>
          <w:rFonts w:hint="eastAsia" w:ascii="宋体" w:hAnsi="宋体" w:cs="宋体"/>
          <w:bCs/>
          <w:color w:val="auto"/>
          <w:sz w:val="24"/>
          <w:highlight w:val="none"/>
        </w:rPr>
        <w:t>）政府采购投标及履约承诺函</w:t>
      </w:r>
      <w:r>
        <w:rPr>
          <w:rFonts w:hint="eastAsia" w:ascii="宋体" w:hAnsi="宋体" w:cs="宋体"/>
          <w:b/>
          <w:color w:val="auto"/>
          <w:sz w:val="24"/>
          <w:highlight w:val="none"/>
        </w:rPr>
        <w:t>（格式见附件）；</w:t>
      </w:r>
    </w:p>
    <w:p w14:paraId="24F2CC16">
      <w:pPr>
        <w:shd w:val="clear" w:color="auto"/>
        <w:tabs>
          <w:tab w:val="left" w:pos="1050"/>
          <w:tab w:val="left" w:pos="1200"/>
          <w:tab w:val="left" w:pos="1365"/>
        </w:tabs>
        <w:spacing w:line="360" w:lineRule="auto"/>
        <w:ind w:firstLine="480"/>
        <w:rPr>
          <w:rFonts w:ascii="宋体" w:hAnsi="宋体" w:cs="宋体"/>
          <w:b/>
          <w:color w:val="auto"/>
          <w:sz w:val="24"/>
          <w:highlight w:val="none"/>
        </w:rPr>
      </w:pPr>
      <w:r>
        <w:rPr>
          <w:rFonts w:hint="eastAsia" w:ascii="宋体" w:hAnsi="宋体" w:cs="宋体"/>
          <w:bCs/>
          <w:color w:val="auto"/>
          <w:sz w:val="24"/>
          <w:highlight w:val="none"/>
        </w:rPr>
        <w:t>（1</w:t>
      </w:r>
      <w:r>
        <w:rPr>
          <w:rFonts w:hint="eastAsia" w:ascii="宋体" w:hAnsi="宋体" w:cs="宋体"/>
          <w:bCs/>
          <w:color w:val="auto"/>
          <w:sz w:val="24"/>
          <w:highlight w:val="none"/>
          <w:lang w:val="en-US" w:eastAsia="zh-CN"/>
        </w:rPr>
        <w:t>0</w:t>
      </w:r>
      <w:r>
        <w:rPr>
          <w:rFonts w:hint="eastAsia" w:ascii="宋体" w:hAnsi="宋体" w:cs="宋体"/>
          <w:bCs/>
          <w:color w:val="auto"/>
          <w:sz w:val="24"/>
          <w:highlight w:val="none"/>
        </w:rPr>
        <w:t>）供应商</w:t>
      </w:r>
      <w:r>
        <w:rPr>
          <w:rFonts w:hint="eastAsia" w:ascii="宋体" w:hAnsi="宋体" w:cs="宋体"/>
          <w:bCs/>
          <w:color w:val="auto"/>
          <w:sz w:val="24"/>
          <w:highlight w:val="none"/>
          <w:lang w:val="en-US" w:eastAsia="zh-CN"/>
        </w:rPr>
        <w:t>如</w:t>
      </w:r>
      <w:r>
        <w:rPr>
          <w:rFonts w:hint="eastAsia" w:ascii="宋体" w:hAnsi="宋体" w:cs="宋体"/>
          <w:bCs/>
          <w:color w:val="auto"/>
          <w:sz w:val="24"/>
          <w:highlight w:val="none"/>
        </w:rPr>
        <w:t>为中小微企业</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提供《中小企业声明函》（格式见附件）；</w:t>
      </w:r>
      <w:r>
        <w:rPr>
          <w:rFonts w:hint="eastAsia" w:ascii="宋体" w:hAnsi="宋体" w:cs="宋体"/>
          <w:bCs/>
          <w:color w:val="auto"/>
          <w:sz w:val="24"/>
          <w:highlight w:val="none"/>
          <w:lang w:val="en-US" w:eastAsia="zh-CN"/>
        </w:rPr>
        <w:t>如</w:t>
      </w:r>
      <w:r>
        <w:rPr>
          <w:rFonts w:hint="eastAsia" w:ascii="宋体" w:hAnsi="宋体" w:cs="宋体"/>
          <w:bCs/>
          <w:color w:val="auto"/>
          <w:sz w:val="24"/>
          <w:highlight w:val="none"/>
        </w:rPr>
        <w:t>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格式见附件）。</w:t>
      </w:r>
    </w:p>
    <w:p w14:paraId="0AF3AC31">
      <w:pPr>
        <w:shd w:val="clear" w:color="auto"/>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674FABA6">
      <w:pPr>
        <w:shd w:val="clear" w:color="auto"/>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2）若法定代表人或负责人或经营者（法定代表人或负责人或经营者姓名必须与营业执照上的一致）亲自参加投标不需提供法定代表人授权及有关法定代表人授权代表的社保证明，只需提供身份证明与营业执照即可。</w:t>
      </w:r>
    </w:p>
    <w:p w14:paraId="3B97C93B">
      <w:pPr>
        <w:shd w:val="clear" w:color="auto"/>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2.2补充性文件</w:t>
      </w:r>
    </w:p>
    <w:p w14:paraId="6CD9E615">
      <w:pPr>
        <w:widowControl/>
        <w:shd w:val="clear" w:color="auto"/>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（1）供应商简介和经营情况说明；</w:t>
      </w:r>
    </w:p>
    <w:p w14:paraId="3895498E">
      <w:pPr>
        <w:widowControl/>
        <w:shd w:val="clear" w:color="auto"/>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（2）拟投入本项目人员一览表（格式见附件）</w:t>
      </w:r>
    </w:p>
    <w:p w14:paraId="4B3DC5B3">
      <w:pPr>
        <w:widowControl/>
        <w:shd w:val="clear" w:color="auto"/>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bCs/>
          <w:color w:val="auto"/>
          <w:sz w:val="24"/>
          <w:highlight w:val="none"/>
        </w:rPr>
        <w:t>业绩一览表（格式见附件）</w:t>
      </w:r>
    </w:p>
    <w:p w14:paraId="5E979753">
      <w:pPr>
        <w:shd w:val="clear" w:color="auto"/>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（4）投标偏离表（格式见附件）</w:t>
      </w:r>
    </w:p>
    <w:p w14:paraId="4FC6A766">
      <w:pPr>
        <w:shd w:val="clear" w:color="auto"/>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（5）供应商认为必须提供的其他证明材料（参考评分标准）。</w:t>
      </w:r>
    </w:p>
    <w:p w14:paraId="1BB1A3F8">
      <w:pPr>
        <w:shd w:val="clear" w:color="auto"/>
        <w:spacing w:line="360" w:lineRule="auto"/>
        <w:ind w:firstLine="360"/>
        <w:rPr>
          <w:rFonts w:ascii="宋体" w:hAnsi="宋体" w:cs="宋体"/>
          <w:color w:val="auto"/>
          <w:sz w:val="24"/>
          <w:highlight w:val="none"/>
        </w:rPr>
      </w:pPr>
      <w:r>
        <w:rPr>
          <w:rFonts w:hint="eastAsia" w:ascii="宋体" w:hAnsi="宋体" w:cs="宋体"/>
          <w:bCs/>
          <w:color w:val="auto"/>
          <w:sz w:val="24"/>
          <w:highlight w:val="none"/>
        </w:rPr>
        <w:t>3.</w:t>
      </w:r>
      <w:r>
        <w:rPr>
          <w:rFonts w:hint="eastAsia" w:ascii="宋体" w:hAnsi="宋体" w:cs="宋体"/>
          <w:color w:val="auto"/>
          <w:sz w:val="24"/>
          <w:highlight w:val="none"/>
        </w:rPr>
        <w:t>开标一览表（格式见附件）</w:t>
      </w:r>
    </w:p>
    <w:p w14:paraId="6AFED2F3">
      <w:pPr>
        <w:shd w:val="clear" w:color="auto"/>
        <w:spacing w:line="360" w:lineRule="auto"/>
        <w:ind w:firstLine="360"/>
        <w:rPr>
          <w:rFonts w:ascii="宋体" w:hAnsi="宋体" w:cs="宋体"/>
          <w:color w:val="auto"/>
          <w:sz w:val="24"/>
          <w:highlight w:val="none"/>
        </w:rPr>
      </w:pPr>
      <w:r>
        <w:rPr>
          <w:rFonts w:hint="eastAsia" w:ascii="宋体" w:hAnsi="宋体" w:cs="宋体"/>
          <w:bCs/>
          <w:color w:val="auto"/>
          <w:sz w:val="24"/>
          <w:szCs w:val="22"/>
          <w:highlight w:val="none"/>
        </w:rPr>
        <w:t>4.细目报价表</w:t>
      </w:r>
      <w:r>
        <w:rPr>
          <w:rFonts w:hint="eastAsia" w:ascii="宋体" w:hAnsi="宋体" w:cs="宋体"/>
          <w:color w:val="auto"/>
          <w:sz w:val="24"/>
          <w:highlight w:val="none"/>
        </w:rPr>
        <w:t>（格式见附件）</w:t>
      </w:r>
    </w:p>
    <w:p w14:paraId="37252ADD">
      <w:pPr>
        <w:shd w:val="clear" w:color="auto"/>
        <w:spacing w:line="360" w:lineRule="auto"/>
        <w:ind w:firstLine="360"/>
        <w:rPr>
          <w:rFonts w:ascii="宋体" w:hAnsi="宋体" w:cs="宋体"/>
          <w:color w:val="auto"/>
          <w:sz w:val="24"/>
          <w:szCs w:val="22"/>
          <w:highlight w:val="none"/>
        </w:rPr>
      </w:pPr>
      <w:r>
        <w:rPr>
          <w:rFonts w:hint="eastAsia" w:ascii="宋体" w:hAnsi="宋体" w:cs="宋体"/>
          <w:color w:val="auto"/>
          <w:sz w:val="24"/>
          <w:highlight w:val="none"/>
        </w:rPr>
        <w:t>5.</w:t>
      </w:r>
      <w:r>
        <w:rPr>
          <w:rFonts w:hint="eastAsia" w:ascii="宋体" w:hAnsi="宋体" w:cs="宋体"/>
          <w:bCs/>
          <w:color w:val="auto"/>
          <w:sz w:val="24"/>
          <w:szCs w:val="22"/>
          <w:highlight w:val="none"/>
        </w:rPr>
        <w:t>服务方案</w:t>
      </w:r>
      <w:r>
        <w:rPr>
          <w:rFonts w:hint="eastAsia" w:ascii="宋体" w:hAnsi="宋体" w:cs="宋体"/>
          <w:b/>
          <w:color w:val="auto"/>
          <w:sz w:val="24"/>
          <w:highlight w:val="none"/>
        </w:rPr>
        <w:t>（根据评分标准编制）</w:t>
      </w:r>
      <w:r>
        <w:rPr>
          <w:rFonts w:hint="eastAsia" w:ascii="宋体" w:hAnsi="宋体" w:cs="宋体"/>
          <w:color w:val="auto"/>
          <w:sz w:val="24"/>
          <w:highlight w:val="none"/>
        </w:rPr>
        <w:t xml:space="preserve">                 </w:t>
      </w:r>
    </w:p>
    <w:p w14:paraId="6BAF440A">
      <w:pPr>
        <w:shd w:val="clear" w:color="auto"/>
        <w:tabs>
          <w:tab w:val="left" w:pos="525"/>
          <w:tab w:val="left" w:pos="552"/>
          <w:tab w:val="left" w:pos="63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三、我们同意按</w:t>
      </w:r>
      <w:r>
        <w:rPr>
          <w:rFonts w:hint="eastAsia" w:ascii="宋体" w:hAnsi="宋体" w:cs="宋体"/>
          <w:color w:val="auto"/>
          <w:sz w:val="24"/>
          <w:highlight w:val="none"/>
        </w:rPr>
        <w:t>采购</w:t>
      </w:r>
      <w:r>
        <w:rPr>
          <w:rFonts w:hint="eastAsia" w:ascii="宋体" w:hAnsi="宋体" w:cs="宋体"/>
          <w:bCs/>
          <w:color w:val="auto"/>
          <w:sz w:val="24"/>
          <w:highlight w:val="none"/>
        </w:rPr>
        <w:t>文件中的规定，本投标文件报价的有效期限为中标通知书发出之日起90天。</w:t>
      </w:r>
    </w:p>
    <w:p w14:paraId="12851013">
      <w:pPr>
        <w:shd w:val="clear" w:color="auto"/>
        <w:tabs>
          <w:tab w:val="left" w:pos="525"/>
          <w:tab w:val="left" w:pos="552"/>
          <w:tab w:val="left" w:pos="630"/>
          <w:tab w:val="left" w:pos="945"/>
        </w:tabs>
        <w:spacing w:line="360" w:lineRule="auto"/>
        <w:ind w:firstLine="480"/>
        <w:rPr>
          <w:rFonts w:ascii="宋体" w:hAnsi="宋体" w:cs="宋体"/>
          <w:bCs/>
          <w:color w:val="auto"/>
          <w:sz w:val="24"/>
          <w:highlight w:val="none"/>
        </w:rPr>
      </w:pPr>
      <w:r>
        <w:rPr>
          <w:rFonts w:hint="eastAsia" w:ascii="宋体" w:hAnsi="宋体" w:cs="宋体"/>
          <w:color w:val="auto"/>
          <w:sz w:val="24"/>
          <w:highlight w:val="none"/>
        </w:rPr>
        <w:t>四、我方同意按采购文件中的规定期限内完成全部工作。</w:t>
      </w:r>
    </w:p>
    <w:p w14:paraId="5A17DA5D">
      <w:pPr>
        <w:shd w:val="clear" w:color="auto"/>
        <w:tabs>
          <w:tab w:val="left" w:pos="525"/>
          <w:tab w:val="left" w:pos="552"/>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五、如果我们的投标文件被接受，我们将履行</w:t>
      </w:r>
      <w:r>
        <w:rPr>
          <w:rFonts w:hint="eastAsia" w:ascii="宋体" w:hAnsi="宋体" w:cs="宋体"/>
          <w:color w:val="auto"/>
          <w:sz w:val="24"/>
          <w:highlight w:val="none"/>
        </w:rPr>
        <w:t>采购</w:t>
      </w:r>
      <w:r>
        <w:rPr>
          <w:rFonts w:hint="eastAsia" w:ascii="宋体" w:hAnsi="宋体" w:cs="宋体"/>
          <w:bCs/>
          <w:color w:val="auto"/>
          <w:sz w:val="24"/>
          <w:highlight w:val="none"/>
        </w:rPr>
        <w:t>文件中规定的每一项要求，按期、按质、按量，完成任务。</w:t>
      </w:r>
    </w:p>
    <w:p w14:paraId="56A0E178">
      <w:pPr>
        <w:shd w:val="clear" w:color="auto"/>
        <w:tabs>
          <w:tab w:val="left" w:pos="525"/>
          <w:tab w:val="left" w:pos="552"/>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六、我们认为你们有权决定成交者。</w:t>
      </w:r>
    </w:p>
    <w:p w14:paraId="39568FD7">
      <w:pPr>
        <w:shd w:val="clear" w:color="auto"/>
        <w:tabs>
          <w:tab w:val="left" w:pos="525"/>
          <w:tab w:val="left" w:pos="552"/>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七、我们认可并保证遵守</w:t>
      </w:r>
      <w:r>
        <w:rPr>
          <w:rFonts w:hint="eastAsia" w:ascii="宋体" w:hAnsi="宋体" w:cs="宋体"/>
          <w:color w:val="auto"/>
          <w:sz w:val="24"/>
          <w:highlight w:val="none"/>
        </w:rPr>
        <w:t>采购</w:t>
      </w:r>
      <w:r>
        <w:rPr>
          <w:rFonts w:hint="eastAsia" w:ascii="宋体" w:hAnsi="宋体" w:cs="宋体"/>
          <w:bCs/>
          <w:color w:val="auto"/>
          <w:sz w:val="24"/>
          <w:highlight w:val="none"/>
        </w:rPr>
        <w:t>文件的所有规定，放弃对采购文件提出质疑的权利。</w:t>
      </w:r>
    </w:p>
    <w:p w14:paraId="30C820E5">
      <w:pPr>
        <w:shd w:val="clear" w:color="auto"/>
        <w:tabs>
          <w:tab w:val="left" w:pos="525"/>
          <w:tab w:val="left" w:pos="552"/>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八、如果我方被确定为中标供应商，我方如无不可抗力，又未履行</w:t>
      </w:r>
      <w:r>
        <w:rPr>
          <w:rFonts w:hint="eastAsia" w:ascii="宋体" w:hAnsi="宋体" w:cs="宋体"/>
          <w:color w:val="auto"/>
          <w:sz w:val="24"/>
          <w:highlight w:val="none"/>
        </w:rPr>
        <w:t>采购</w:t>
      </w:r>
      <w:r>
        <w:rPr>
          <w:rFonts w:hint="eastAsia" w:ascii="宋体" w:hAnsi="宋体" w:cs="宋体"/>
          <w:bCs/>
          <w:color w:val="auto"/>
          <w:sz w:val="24"/>
          <w:highlight w:val="none"/>
        </w:rPr>
        <w:t>文件、投标文件和合同条款的，一经查实，我方愿意赔偿由此而造成的一切损失，并同意接受按</w:t>
      </w:r>
      <w:r>
        <w:rPr>
          <w:rFonts w:hint="eastAsia" w:ascii="宋体" w:hAnsi="宋体" w:cs="宋体"/>
          <w:color w:val="auto"/>
          <w:sz w:val="24"/>
          <w:highlight w:val="none"/>
        </w:rPr>
        <w:t>采购</w:t>
      </w:r>
      <w:r>
        <w:rPr>
          <w:rFonts w:hint="eastAsia" w:ascii="宋体" w:hAnsi="宋体" w:cs="宋体"/>
          <w:bCs/>
          <w:color w:val="auto"/>
          <w:sz w:val="24"/>
          <w:highlight w:val="none"/>
        </w:rPr>
        <w:t>文件的相关要求对我方进行的处理。</w:t>
      </w:r>
    </w:p>
    <w:p w14:paraId="2CED0317">
      <w:pPr>
        <w:shd w:val="clear" w:color="auto"/>
        <w:spacing w:line="400" w:lineRule="exact"/>
        <w:ind w:firstLine="480"/>
        <w:rPr>
          <w:rFonts w:ascii="宋体" w:hAnsi="宋体" w:cs="宋体"/>
          <w:bCs/>
          <w:color w:val="auto"/>
          <w:sz w:val="24"/>
          <w:highlight w:val="none"/>
        </w:rPr>
      </w:pPr>
    </w:p>
    <w:p w14:paraId="070FE264">
      <w:pPr>
        <w:shd w:val="clear" w:color="auto"/>
        <w:spacing w:line="400" w:lineRule="exact"/>
        <w:ind w:firstLine="480"/>
        <w:rPr>
          <w:rFonts w:ascii="宋体" w:hAnsi="宋体" w:cs="宋体"/>
          <w:bCs/>
          <w:color w:val="auto"/>
          <w:sz w:val="24"/>
          <w:szCs w:val="22"/>
          <w:highlight w:val="none"/>
        </w:rPr>
      </w:pPr>
      <w:r>
        <w:rPr>
          <w:rFonts w:hint="eastAsia" w:ascii="宋体" w:hAnsi="宋体" w:cs="宋体"/>
          <w:bCs/>
          <w:color w:val="auto"/>
          <w:sz w:val="24"/>
          <w:highlight w:val="none"/>
        </w:rPr>
        <w:t>投标</w:t>
      </w:r>
      <w:r>
        <w:rPr>
          <w:rFonts w:hint="eastAsia" w:ascii="宋体" w:hAnsi="宋体" w:cs="宋体"/>
          <w:bCs/>
          <w:color w:val="auto"/>
          <w:sz w:val="24"/>
          <w:szCs w:val="22"/>
          <w:highlight w:val="none"/>
        </w:rPr>
        <w:t xml:space="preserve">供应商（盖章）：     </w:t>
      </w:r>
    </w:p>
    <w:p w14:paraId="1B70F8B1">
      <w:pPr>
        <w:shd w:val="clear" w:color="auto"/>
        <w:spacing w:line="400" w:lineRule="exact"/>
        <w:ind w:firstLine="480"/>
        <w:rPr>
          <w:rFonts w:ascii="宋体" w:hAnsi="宋体" w:cs="宋体"/>
          <w:bCs/>
          <w:color w:val="auto"/>
          <w:sz w:val="24"/>
          <w:szCs w:val="22"/>
          <w:highlight w:val="none"/>
        </w:rPr>
      </w:pPr>
      <w:r>
        <w:rPr>
          <w:rFonts w:hint="eastAsia" w:ascii="宋体" w:hAnsi="宋体" w:cs="宋体"/>
          <w:bCs/>
          <w:color w:val="auto"/>
          <w:sz w:val="24"/>
          <w:szCs w:val="22"/>
          <w:highlight w:val="none"/>
        </w:rPr>
        <w:t>法定代表人或法定代表人授权代表签字或盖章：</w:t>
      </w:r>
    </w:p>
    <w:p w14:paraId="19FB1D77">
      <w:pPr>
        <w:shd w:val="clear" w:color="auto"/>
        <w:spacing w:line="400" w:lineRule="exact"/>
        <w:ind w:firstLine="480"/>
        <w:rPr>
          <w:rFonts w:ascii="宋体" w:hAnsi="宋体" w:cs="宋体"/>
          <w:bCs/>
          <w:color w:val="auto"/>
          <w:sz w:val="24"/>
          <w:szCs w:val="22"/>
          <w:highlight w:val="none"/>
        </w:rPr>
      </w:pPr>
      <w:r>
        <w:rPr>
          <w:rFonts w:hint="eastAsia" w:ascii="宋体" w:hAnsi="宋体" w:cs="宋体"/>
          <w:bCs/>
          <w:color w:val="auto"/>
          <w:sz w:val="24"/>
          <w:szCs w:val="22"/>
          <w:highlight w:val="none"/>
        </w:rPr>
        <w:t>电话：                              传真：</w:t>
      </w:r>
    </w:p>
    <w:p w14:paraId="2DE9A962">
      <w:pPr>
        <w:shd w:val="clear" w:color="auto"/>
        <w:spacing w:line="400" w:lineRule="exact"/>
        <w:ind w:firstLine="480"/>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地址：                              邮编：                             </w:t>
      </w:r>
    </w:p>
    <w:p w14:paraId="5C740914">
      <w:pPr>
        <w:shd w:val="clear" w:color="auto"/>
        <w:spacing w:line="400" w:lineRule="exact"/>
        <w:ind w:firstLine="480"/>
        <w:rPr>
          <w:rFonts w:ascii="宋体" w:hAnsi="宋体" w:cs="宋体"/>
          <w:bCs/>
          <w:color w:val="auto"/>
          <w:sz w:val="24"/>
          <w:szCs w:val="22"/>
          <w:highlight w:val="none"/>
        </w:rPr>
      </w:pPr>
      <w:r>
        <w:rPr>
          <w:rFonts w:hint="eastAsia" w:ascii="宋体" w:hAnsi="宋体" w:cs="宋体"/>
          <w:bCs/>
          <w:color w:val="auto"/>
          <w:sz w:val="24"/>
          <w:szCs w:val="22"/>
          <w:highlight w:val="none"/>
        </w:rPr>
        <w:t>开户名称：</w:t>
      </w:r>
    </w:p>
    <w:p w14:paraId="7169260A">
      <w:pPr>
        <w:shd w:val="clear" w:color="auto"/>
        <w:spacing w:line="400" w:lineRule="exact"/>
        <w:ind w:firstLine="480"/>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开户银行：                   </w:t>
      </w:r>
    </w:p>
    <w:p w14:paraId="73BB9DC0">
      <w:pPr>
        <w:shd w:val="clear" w:color="auto"/>
        <w:spacing w:line="400" w:lineRule="exact"/>
        <w:ind w:firstLine="480"/>
        <w:rPr>
          <w:rFonts w:ascii="宋体" w:hAnsi="宋体" w:cs="宋体"/>
          <w:bCs/>
          <w:color w:val="auto"/>
          <w:sz w:val="24"/>
          <w:highlight w:val="none"/>
        </w:rPr>
      </w:pPr>
      <w:r>
        <w:rPr>
          <w:rFonts w:hint="eastAsia" w:ascii="宋体" w:hAnsi="宋体" w:cs="宋体"/>
          <w:bCs/>
          <w:color w:val="auto"/>
          <w:sz w:val="24"/>
          <w:szCs w:val="22"/>
          <w:highlight w:val="none"/>
        </w:rPr>
        <w:t>开户账号：</w:t>
      </w:r>
    </w:p>
    <w:p w14:paraId="53859D99">
      <w:pPr>
        <w:shd w:val="clear" w:color="auto"/>
        <w:spacing w:line="400" w:lineRule="exact"/>
        <w:ind w:firstLine="480"/>
        <w:rPr>
          <w:rFonts w:ascii="宋体" w:hAnsi="宋体" w:cs="宋体"/>
          <w:bCs/>
          <w:color w:val="auto"/>
          <w:sz w:val="24"/>
          <w:highlight w:val="none"/>
        </w:rPr>
      </w:pPr>
    </w:p>
    <w:p w14:paraId="497ACA44">
      <w:pPr>
        <w:shd w:val="clear" w:color="auto"/>
        <w:tabs>
          <w:tab w:val="left" w:pos="945"/>
        </w:tabs>
        <w:spacing w:line="360" w:lineRule="auto"/>
        <w:ind w:firstLine="465"/>
        <w:rPr>
          <w:rFonts w:ascii="宋体" w:hAnsi="宋体" w:cs="宋体"/>
          <w:color w:val="auto"/>
          <w:sz w:val="24"/>
          <w:highlight w:val="none"/>
        </w:rPr>
      </w:pPr>
    </w:p>
    <w:p w14:paraId="5A277555">
      <w:pPr>
        <w:shd w:val="clear" w:color="auto"/>
        <w:tabs>
          <w:tab w:val="left" w:pos="945"/>
        </w:tabs>
        <w:spacing w:line="360" w:lineRule="auto"/>
        <w:ind w:firstLine="465"/>
        <w:rPr>
          <w:rFonts w:ascii="宋体" w:hAnsi="宋体" w:cs="宋体"/>
          <w:color w:val="auto"/>
          <w:sz w:val="24"/>
          <w:highlight w:val="none"/>
        </w:rPr>
      </w:pPr>
    </w:p>
    <w:p w14:paraId="1DBAC5F7">
      <w:pPr>
        <w:shd w:val="clear" w:color="auto"/>
        <w:tabs>
          <w:tab w:val="left" w:pos="945"/>
        </w:tabs>
        <w:spacing w:line="360" w:lineRule="auto"/>
        <w:ind w:firstLine="465"/>
        <w:rPr>
          <w:rFonts w:ascii="宋体" w:hAnsi="宋体" w:cs="宋体"/>
          <w:color w:val="auto"/>
          <w:sz w:val="24"/>
          <w:highlight w:val="none"/>
        </w:rPr>
      </w:pPr>
    </w:p>
    <w:p w14:paraId="25A78E78">
      <w:pPr>
        <w:shd w:val="clear" w:color="auto"/>
        <w:tabs>
          <w:tab w:val="left" w:pos="945"/>
        </w:tabs>
        <w:spacing w:line="360" w:lineRule="auto"/>
        <w:ind w:firstLine="465"/>
        <w:rPr>
          <w:rFonts w:ascii="宋体" w:hAnsi="宋体" w:cs="宋体"/>
          <w:color w:val="auto"/>
          <w:sz w:val="24"/>
          <w:highlight w:val="none"/>
        </w:rPr>
      </w:pPr>
    </w:p>
    <w:p w14:paraId="06A60FEF">
      <w:pPr>
        <w:shd w:val="clear" w:color="auto"/>
        <w:tabs>
          <w:tab w:val="left" w:pos="945"/>
        </w:tabs>
        <w:spacing w:line="360" w:lineRule="auto"/>
        <w:ind w:firstLine="465"/>
        <w:rPr>
          <w:rFonts w:ascii="宋体" w:hAnsi="宋体" w:cs="宋体"/>
          <w:color w:val="auto"/>
          <w:sz w:val="24"/>
          <w:highlight w:val="none"/>
        </w:rPr>
      </w:pPr>
    </w:p>
    <w:p w14:paraId="53014DDA">
      <w:pPr>
        <w:shd w:val="clear" w:color="auto"/>
        <w:tabs>
          <w:tab w:val="left" w:pos="945"/>
        </w:tabs>
        <w:spacing w:line="360" w:lineRule="auto"/>
        <w:ind w:firstLine="465"/>
        <w:rPr>
          <w:rFonts w:ascii="宋体" w:hAnsi="宋体" w:cs="宋体"/>
          <w:color w:val="auto"/>
          <w:sz w:val="24"/>
          <w:highlight w:val="none"/>
        </w:rPr>
      </w:pPr>
    </w:p>
    <w:p w14:paraId="2026E764">
      <w:pPr>
        <w:shd w:val="clear" w:color="auto"/>
        <w:tabs>
          <w:tab w:val="left" w:pos="945"/>
        </w:tabs>
        <w:spacing w:line="360" w:lineRule="auto"/>
        <w:ind w:firstLine="465"/>
        <w:rPr>
          <w:rFonts w:ascii="宋体" w:hAnsi="宋体" w:cs="宋体"/>
          <w:color w:val="auto"/>
          <w:sz w:val="24"/>
          <w:highlight w:val="none"/>
        </w:rPr>
      </w:pPr>
    </w:p>
    <w:p w14:paraId="2075E2AE">
      <w:pPr>
        <w:shd w:val="clear" w:color="auto"/>
        <w:tabs>
          <w:tab w:val="left" w:pos="945"/>
        </w:tabs>
        <w:spacing w:line="360" w:lineRule="auto"/>
        <w:ind w:firstLine="465"/>
        <w:rPr>
          <w:rFonts w:ascii="宋体" w:hAnsi="宋体" w:cs="宋体"/>
          <w:color w:val="auto"/>
          <w:sz w:val="24"/>
          <w:highlight w:val="none"/>
        </w:rPr>
      </w:pPr>
    </w:p>
    <w:p w14:paraId="446D78AA">
      <w:pPr>
        <w:shd w:val="clear" w:color="auto"/>
        <w:outlineLvl w:val="0"/>
        <w:rPr>
          <w:rFonts w:ascii="宋体" w:hAnsi="宋体" w:cs="宋体"/>
          <w:bCs/>
          <w:color w:val="auto"/>
          <w:sz w:val="24"/>
          <w:highlight w:val="none"/>
        </w:rPr>
      </w:pPr>
      <w:r>
        <w:rPr>
          <w:rFonts w:hint="eastAsia" w:ascii="宋体" w:hAnsi="宋体" w:cs="宋体"/>
          <w:color w:val="auto"/>
          <w:sz w:val="28"/>
          <w:highlight w:val="none"/>
        </w:rPr>
        <w:br w:type="page" w:clear="all"/>
      </w:r>
      <w:r>
        <w:rPr>
          <w:rFonts w:hint="eastAsia" w:ascii="宋体" w:hAnsi="宋体" w:cs="宋体"/>
          <w:bCs/>
          <w:color w:val="auto"/>
          <w:sz w:val="24"/>
          <w:highlight w:val="none"/>
        </w:rPr>
        <w:t>（二）开标一览表（格式）</w:t>
      </w:r>
    </w:p>
    <w:p w14:paraId="260FAD52">
      <w:pPr>
        <w:shd w:val="clear" w:color="auto"/>
        <w:spacing w:line="400" w:lineRule="exact"/>
        <w:ind w:firstLine="480"/>
        <w:rPr>
          <w:rFonts w:ascii="宋体" w:hAnsi="宋体" w:cs="宋体"/>
          <w:color w:val="auto"/>
          <w:sz w:val="24"/>
          <w:highlight w:val="none"/>
        </w:rPr>
      </w:pPr>
    </w:p>
    <w:p w14:paraId="367E09B3">
      <w:pPr>
        <w:shd w:val="clear" w:color="auto"/>
        <w:spacing w:line="360" w:lineRule="auto"/>
        <w:jc w:val="center"/>
        <w:rPr>
          <w:rFonts w:ascii="宋体" w:hAnsi="宋体" w:cs="宋体"/>
          <w:b/>
          <w:color w:val="auto"/>
          <w:sz w:val="32"/>
          <w:szCs w:val="32"/>
          <w:highlight w:val="none"/>
        </w:rPr>
      </w:pPr>
      <w:r>
        <w:rPr>
          <w:rFonts w:hint="eastAsia" w:ascii="宋体" w:hAnsi="宋体" w:cs="宋体"/>
          <w:b/>
          <w:color w:val="auto"/>
          <w:sz w:val="36"/>
          <w:szCs w:val="36"/>
          <w:highlight w:val="none"/>
        </w:rPr>
        <w:t>开标一览表</w:t>
      </w:r>
    </w:p>
    <w:p w14:paraId="448A3FA3">
      <w:pPr>
        <w:shd w:val="clear" w:color="auto"/>
        <w:outlineLvl w:val="0"/>
        <w:rPr>
          <w:rFonts w:ascii="宋体" w:hAnsi="宋体" w:cs="宋体"/>
          <w:bCs/>
          <w:color w:val="auto"/>
          <w:sz w:val="28"/>
          <w:szCs w:val="28"/>
          <w:highlight w:val="none"/>
        </w:rPr>
      </w:pPr>
    </w:p>
    <w:p w14:paraId="30645DEA">
      <w:pPr>
        <w:shd w:val="clear" w:color="auto"/>
        <w:spacing w:line="360" w:lineRule="auto"/>
        <w:rPr>
          <w:rFonts w:ascii="宋体" w:hAnsi="宋体" w:cs="宋体"/>
          <w:bCs/>
          <w:color w:val="auto"/>
          <w:sz w:val="24"/>
          <w:highlight w:val="none"/>
        </w:rPr>
      </w:pPr>
      <w:r>
        <w:rPr>
          <w:rFonts w:hint="eastAsia" w:ascii="宋体" w:hAnsi="宋体" w:cs="宋体"/>
          <w:bCs/>
          <w:color w:val="auto"/>
          <w:sz w:val="24"/>
          <w:highlight w:val="none"/>
        </w:rPr>
        <w:t>供应商名称（盖章）                           政府采购编号：</w:t>
      </w:r>
    </w:p>
    <w:tbl>
      <w:tblPr>
        <w:tblStyle w:val="34"/>
        <w:tblW w:w="9380" w:type="dxa"/>
        <w:tblInd w:w="-12" w:type="dxa"/>
        <w:tblLayout w:type="fixed"/>
        <w:tblCellMar>
          <w:top w:w="0" w:type="dxa"/>
          <w:left w:w="108" w:type="dxa"/>
          <w:bottom w:w="0" w:type="dxa"/>
          <w:right w:w="108" w:type="dxa"/>
        </w:tblCellMar>
      </w:tblPr>
      <w:tblGrid>
        <w:gridCol w:w="3413"/>
        <w:gridCol w:w="5967"/>
      </w:tblGrid>
      <w:tr w14:paraId="51F3B1BB">
        <w:tblPrEx>
          <w:tblCellMar>
            <w:top w:w="0" w:type="dxa"/>
            <w:left w:w="108" w:type="dxa"/>
            <w:bottom w:w="0" w:type="dxa"/>
            <w:right w:w="108" w:type="dxa"/>
          </w:tblCellMar>
        </w:tblPrEx>
        <w:trPr>
          <w:trHeight w:val="1244" w:hRule="atLeast"/>
        </w:trPr>
        <w:tc>
          <w:tcPr>
            <w:tcW w:w="3413" w:type="dxa"/>
            <w:tcBorders>
              <w:top w:val="single" w:color="000000" w:sz="4" w:space="0"/>
              <w:left w:val="single" w:color="000000" w:sz="4" w:space="0"/>
              <w:bottom w:val="single" w:color="000000" w:sz="4" w:space="0"/>
              <w:right w:val="single" w:color="000000" w:sz="4" w:space="0"/>
            </w:tcBorders>
            <w:noWrap w:val="0"/>
            <w:vAlign w:val="center"/>
          </w:tcPr>
          <w:p w14:paraId="6A2992C1">
            <w:pPr>
              <w:widowControl/>
              <w:shd w:val="clear" w:color="auto"/>
              <w:jc w:val="center"/>
              <w:rPr>
                <w:rFonts w:ascii="宋体" w:hAnsi="宋体" w:cs="宋体"/>
                <w:color w:val="auto"/>
                <w:sz w:val="24"/>
                <w:highlight w:val="none"/>
              </w:rPr>
            </w:pPr>
            <w:r>
              <w:rPr>
                <w:rFonts w:hint="eastAsia" w:ascii="宋体" w:hAnsi="宋体" w:cs="宋体"/>
                <w:color w:val="auto"/>
                <w:sz w:val="24"/>
                <w:highlight w:val="none"/>
              </w:rPr>
              <w:t>项目总报价</w:t>
            </w:r>
          </w:p>
          <w:p w14:paraId="04FD5CA5">
            <w:pPr>
              <w:widowControl/>
              <w:shd w:val="clear" w:color="auto"/>
              <w:jc w:val="center"/>
              <w:rPr>
                <w:rFonts w:ascii="宋体" w:hAnsi="宋体" w:cs="宋体"/>
                <w:b/>
                <w:bCs/>
                <w:color w:val="auto"/>
                <w:sz w:val="24"/>
                <w:highlight w:val="none"/>
              </w:rPr>
            </w:pPr>
            <w:r>
              <w:rPr>
                <w:rFonts w:hint="eastAsia" w:ascii="宋体" w:hAnsi="宋体" w:cs="宋体"/>
                <w:color w:val="auto"/>
                <w:sz w:val="24"/>
                <w:highlight w:val="none"/>
              </w:rPr>
              <w:t>（人民币）</w:t>
            </w:r>
          </w:p>
        </w:tc>
        <w:tc>
          <w:tcPr>
            <w:tcW w:w="5967" w:type="dxa"/>
            <w:tcBorders>
              <w:top w:val="single" w:color="000000" w:sz="4" w:space="0"/>
              <w:left w:val="single" w:color="000000" w:sz="4" w:space="0"/>
              <w:bottom w:val="single" w:color="000000" w:sz="4" w:space="0"/>
              <w:right w:val="single" w:color="000000" w:sz="4" w:space="0"/>
            </w:tcBorders>
            <w:noWrap w:val="0"/>
            <w:vAlign w:val="center"/>
          </w:tcPr>
          <w:p w14:paraId="7FDE01B2">
            <w:pPr>
              <w:widowControl/>
              <w:shd w:val="clear" w:color="auto"/>
              <w:jc w:val="left"/>
              <w:rPr>
                <w:rFonts w:ascii="宋体" w:hAnsi="宋体" w:cs="宋体"/>
                <w:color w:val="auto"/>
                <w:sz w:val="24"/>
                <w:highlight w:val="none"/>
              </w:rPr>
            </w:pPr>
            <w:r>
              <w:rPr>
                <w:rFonts w:hint="eastAsia" w:ascii="宋体" w:hAnsi="宋体" w:cs="宋体"/>
                <w:color w:val="auto"/>
                <w:sz w:val="24"/>
                <w:highlight w:val="none"/>
              </w:rPr>
              <w:t>大写：</w:t>
            </w:r>
          </w:p>
          <w:p w14:paraId="76D51A08">
            <w:pPr>
              <w:widowControl/>
              <w:shd w:val="clear" w:color="auto"/>
              <w:jc w:val="left"/>
              <w:rPr>
                <w:rFonts w:ascii="宋体" w:hAnsi="宋体" w:cs="宋体"/>
                <w:color w:val="auto"/>
                <w:sz w:val="24"/>
                <w:highlight w:val="none"/>
              </w:rPr>
            </w:pPr>
          </w:p>
          <w:p w14:paraId="39DD9C1F">
            <w:pPr>
              <w:widowControl/>
              <w:shd w:val="clear" w:color="auto"/>
              <w:jc w:val="left"/>
              <w:rPr>
                <w:rFonts w:ascii="宋体" w:hAnsi="宋体" w:cs="宋体"/>
                <w:color w:val="auto"/>
                <w:sz w:val="24"/>
                <w:highlight w:val="none"/>
              </w:rPr>
            </w:pPr>
            <w:r>
              <w:rPr>
                <w:rFonts w:hint="eastAsia" w:ascii="宋体" w:hAnsi="宋体" w:cs="宋体"/>
                <w:color w:val="auto"/>
                <w:sz w:val="24"/>
                <w:highlight w:val="none"/>
              </w:rPr>
              <w:t>小写：</w:t>
            </w:r>
          </w:p>
        </w:tc>
      </w:tr>
      <w:tr w14:paraId="6BAB228C">
        <w:tblPrEx>
          <w:tblCellMar>
            <w:top w:w="0" w:type="dxa"/>
            <w:left w:w="108" w:type="dxa"/>
            <w:bottom w:w="0" w:type="dxa"/>
            <w:right w:w="108" w:type="dxa"/>
          </w:tblCellMar>
        </w:tblPrEx>
        <w:trPr>
          <w:trHeight w:val="935" w:hRule="atLeast"/>
        </w:trPr>
        <w:tc>
          <w:tcPr>
            <w:tcW w:w="3413" w:type="dxa"/>
            <w:tcBorders>
              <w:top w:val="single" w:color="000000" w:sz="4" w:space="0"/>
              <w:left w:val="single" w:color="000000" w:sz="4" w:space="0"/>
              <w:bottom w:val="single" w:color="000000" w:sz="4" w:space="0"/>
              <w:right w:val="single" w:color="000000" w:sz="4" w:space="0"/>
            </w:tcBorders>
            <w:noWrap w:val="0"/>
            <w:vAlign w:val="center"/>
          </w:tcPr>
          <w:p w14:paraId="02E78F20">
            <w:pPr>
              <w:widowControl/>
              <w:shd w:val="clear" w:color="auto"/>
              <w:jc w:val="center"/>
              <w:rPr>
                <w:rFonts w:ascii="宋体" w:hAnsi="宋体" w:cs="宋体"/>
                <w:bCs/>
                <w:color w:val="auto"/>
                <w:sz w:val="24"/>
                <w:highlight w:val="none"/>
              </w:rPr>
            </w:pPr>
            <w:r>
              <w:rPr>
                <w:rFonts w:hint="eastAsia" w:ascii="宋体" w:hAnsi="宋体" w:cs="宋体"/>
                <w:color w:val="auto"/>
                <w:sz w:val="24"/>
                <w:szCs w:val="22"/>
                <w:highlight w:val="none"/>
              </w:rPr>
              <w:t>服务期</w:t>
            </w:r>
          </w:p>
        </w:tc>
        <w:tc>
          <w:tcPr>
            <w:tcW w:w="5967" w:type="dxa"/>
            <w:tcBorders>
              <w:top w:val="single" w:color="000000" w:sz="4" w:space="0"/>
              <w:left w:val="single" w:color="000000" w:sz="4" w:space="0"/>
              <w:bottom w:val="single" w:color="000000" w:sz="4" w:space="0"/>
              <w:right w:val="single" w:color="000000" w:sz="4" w:space="0"/>
            </w:tcBorders>
            <w:noWrap w:val="0"/>
            <w:vAlign w:val="center"/>
          </w:tcPr>
          <w:p w14:paraId="1E00735A">
            <w:pPr>
              <w:widowControl/>
              <w:shd w:val="clear" w:color="auto"/>
              <w:jc w:val="left"/>
              <w:rPr>
                <w:rFonts w:ascii="宋体" w:hAnsi="宋体" w:cs="宋体"/>
                <w:color w:val="auto"/>
                <w:sz w:val="24"/>
                <w:highlight w:val="none"/>
              </w:rPr>
            </w:pPr>
          </w:p>
        </w:tc>
      </w:tr>
      <w:tr w14:paraId="78E26203">
        <w:tblPrEx>
          <w:tblCellMar>
            <w:top w:w="0" w:type="dxa"/>
            <w:left w:w="108" w:type="dxa"/>
            <w:bottom w:w="0" w:type="dxa"/>
            <w:right w:w="108" w:type="dxa"/>
          </w:tblCellMar>
        </w:tblPrEx>
        <w:trPr>
          <w:trHeight w:val="935" w:hRule="atLeast"/>
        </w:trPr>
        <w:tc>
          <w:tcPr>
            <w:tcW w:w="3413" w:type="dxa"/>
            <w:tcBorders>
              <w:top w:val="single" w:color="000000" w:sz="4" w:space="0"/>
              <w:left w:val="single" w:color="000000" w:sz="4" w:space="0"/>
              <w:bottom w:val="single" w:color="000000" w:sz="4" w:space="0"/>
              <w:right w:val="single" w:color="000000" w:sz="4" w:space="0"/>
            </w:tcBorders>
            <w:noWrap w:val="0"/>
            <w:vAlign w:val="center"/>
          </w:tcPr>
          <w:p w14:paraId="7A8DD670">
            <w:pPr>
              <w:widowControl/>
              <w:shd w:val="clear" w:color="auto"/>
              <w:jc w:val="center"/>
              <w:rPr>
                <w:rFonts w:ascii="宋体" w:hAnsi="宋体" w:cs="宋体"/>
                <w:color w:val="auto"/>
                <w:sz w:val="24"/>
                <w:szCs w:val="22"/>
                <w:highlight w:val="none"/>
              </w:rPr>
            </w:pPr>
            <w:r>
              <w:rPr>
                <w:rFonts w:hint="eastAsia" w:ascii="宋体" w:hAnsi="宋体" w:cs="宋体"/>
                <w:bCs/>
                <w:color w:val="auto"/>
                <w:sz w:val="24"/>
                <w:highlight w:val="none"/>
              </w:rPr>
              <w:t>项目负责人</w:t>
            </w:r>
          </w:p>
        </w:tc>
        <w:tc>
          <w:tcPr>
            <w:tcW w:w="5967" w:type="dxa"/>
            <w:tcBorders>
              <w:top w:val="single" w:color="000000" w:sz="4" w:space="0"/>
              <w:left w:val="single" w:color="000000" w:sz="4" w:space="0"/>
              <w:bottom w:val="single" w:color="000000" w:sz="4" w:space="0"/>
              <w:right w:val="single" w:color="000000" w:sz="4" w:space="0"/>
            </w:tcBorders>
            <w:noWrap w:val="0"/>
            <w:vAlign w:val="center"/>
          </w:tcPr>
          <w:p w14:paraId="1E9A82C6">
            <w:pPr>
              <w:widowControl/>
              <w:shd w:val="clear" w:color="auto"/>
              <w:jc w:val="left"/>
              <w:rPr>
                <w:rFonts w:ascii="宋体" w:hAnsi="宋体" w:cs="宋体"/>
                <w:color w:val="auto"/>
                <w:sz w:val="24"/>
                <w:highlight w:val="none"/>
              </w:rPr>
            </w:pPr>
          </w:p>
        </w:tc>
      </w:tr>
    </w:tbl>
    <w:p w14:paraId="32B02D9D">
      <w:pPr>
        <w:shd w:val="clear" w:color="auto"/>
        <w:spacing w:line="360" w:lineRule="auto"/>
        <w:rPr>
          <w:rFonts w:ascii="宋体" w:hAnsi="宋体" w:cs="宋体"/>
          <w:color w:val="auto"/>
          <w:sz w:val="24"/>
          <w:highlight w:val="none"/>
        </w:rPr>
      </w:pPr>
    </w:p>
    <w:p w14:paraId="6A402535">
      <w:pPr>
        <w:pStyle w:val="224"/>
        <w:shd w:val="clear" w:color="auto"/>
        <w:ind w:left="2040"/>
        <w:rPr>
          <w:rFonts w:ascii="宋体" w:hAnsi="宋体" w:cs="宋体"/>
          <w:color w:val="auto"/>
          <w:highlight w:val="none"/>
        </w:rPr>
      </w:pPr>
    </w:p>
    <w:p w14:paraId="4F8B579C">
      <w:pPr>
        <w:shd w:val="clear" w:color="auto"/>
        <w:ind w:firstLine="480"/>
        <w:outlineLvl w:val="0"/>
        <w:rPr>
          <w:rFonts w:ascii="宋体" w:hAnsi="宋体" w:cs="宋体"/>
          <w:bCs/>
          <w:color w:val="auto"/>
          <w:sz w:val="24"/>
          <w:highlight w:val="none"/>
        </w:rPr>
      </w:pPr>
    </w:p>
    <w:p w14:paraId="271E29EE">
      <w:pPr>
        <w:shd w:val="clear" w:color="auto"/>
        <w:ind w:firstLine="480"/>
        <w:outlineLvl w:val="0"/>
        <w:rPr>
          <w:rFonts w:ascii="宋体" w:hAnsi="宋体" w:cs="宋体"/>
          <w:bCs/>
          <w:color w:val="auto"/>
          <w:sz w:val="24"/>
          <w:highlight w:val="none"/>
        </w:rPr>
      </w:pPr>
      <w:r>
        <w:rPr>
          <w:rFonts w:hint="eastAsia" w:ascii="宋体" w:hAnsi="宋体" w:cs="宋体"/>
          <w:bCs/>
          <w:color w:val="auto"/>
          <w:sz w:val="24"/>
          <w:highlight w:val="none"/>
        </w:rPr>
        <w:t>法定代表人或被授权代表或经营者（签字或盖章）：</w:t>
      </w:r>
    </w:p>
    <w:p w14:paraId="4DC74D65">
      <w:pPr>
        <w:shd w:val="clear" w:color="auto"/>
        <w:outlineLvl w:val="0"/>
        <w:rPr>
          <w:rFonts w:ascii="宋体" w:hAnsi="宋体" w:cs="宋体"/>
          <w:bCs/>
          <w:color w:val="auto"/>
          <w:sz w:val="24"/>
          <w:highlight w:val="none"/>
        </w:rPr>
      </w:pPr>
    </w:p>
    <w:p w14:paraId="4B778D1E">
      <w:pPr>
        <w:shd w:val="clear" w:color="auto"/>
        <w:ind w:firstLine="480"/>
        <w:outlineLvl w:val="0"/>
        <w:rPr>
          <w:rFonts w:ascii="宋体" w:hAnsi="宋体" w:cs="宋体"/>
          <w:bCs/>
          <w:color w:val="auto"/>
          <w:sz w:val="24"/>
          <w:highlight w:val="none"/>
        </w:rPr>
      </w:pPr>
      <w:r>
        <w:rPr>
          <w:rFonts w:hint="eastAsia" w:ascii="宋体" w:hAnsi="宋体" w:cs="宋体"/>
          <w:bCs/>
          <w:color w:val="auto"/>
          <w:sz w:val="24"/>
          <w:highlight w:val="none"/>
        </w:rPr>
        <w:t>日期：</w:t>
      </w:r>
    </w:p>
    <w:p w14:paraId="1EAF2F66">
      <w:pPr>
        <w:pStyle w:val="33"/>
        <w:shd w:val="clear" w:color="auto"/>
        <w:ind w:left="0" w:firstLine="0"/>
        <w:rPr>
          <w:rFonts w:cs="宋体"/>
          <w:color w:val="auto"/>
          <w:highlight w:val="none"/>
        </w:rPr>
      </w:pPr>
    </w:p>
    <w:p w14:paraId="697B2D2A">
      <w:pPr>
        <w:shd w:val="clear" w:color="auto"/>
        <w:rPr>
          <w:rFonts w:ascii="宋体" w:hAnsi="宋体" w:cs="宋体"/>
          <w:bCs/>
          <w:color w:val="auto"/>
          <w:sz w:val="24"/>
          <w:highlight w:val="none"/>
        </w:rPr>
      </w:pPr>
      <w:r>
        <w:rPr>
          <w:rFonts w:hint="eastAsia" w:ascii="宋体" w:hAnsi="宋体" w:cs="宋体"/>
          <w:b/>
          <w:color w:val="auto"/>
          <w:sz w:val="24"/>
          <w:highlight w:val="none"/>
        </w:rPr>
        <w:t>注：若是中小微企业的请提供</w:t>
      </w:r>
      <w:r>
        <w:rPr>
          <w:rFonts w:hint="eastAsia" w:ascii="宋体" w:hAnsi="宋体" w:cs="宋体"/>
          <w:b/>
          <w:color w:val="auto"/>
          <w:sz w:val="24"/>
          <w:highlight w:val="none"/>
          <w:lang w:eastAsia="zh-CN"/>
        </w:rPr>
        <w:t>供应商</w:t>
      </w:r>
      <w:r>
        <w:rPr>
          <w:rFonts w:hint="eastAsia" w:ascii="宋体" w:hAnsi="宋体" w:cs="宋体"/>
          <w:b/>
          <w:color w:val="auto"/>
          <w:sz w:val="24"/>
          <w:highlight w:val="none"/>
        </w:rPr>
        <w:t>《中小企业声明函》；如未按要求填写和提供有效证明或相关内容表述不清的，不得享受价格扣除。</w:t>
      </w:r>
      <w:r>
        <w:rPr>
          <w:rFonts w:hint="eastAsia" w:ascii="宋体" w:hAnsi="宋体" w:cs="宋体"/>
          <w:b/>
          <w:color w:val="auto"/>
          <w:sz w:val="24"/>
          <w:highlight w:val="none"/>
          <w:lang w:eastAsia="zh-CN"/>
        </w:rPr>
        <w:t>供应商</w:t>
      </w:r>
      <w:r>
        <w:rPr>
          <w:rFonts w:hint="eastAsia" w:ascii="宋体" w:hAnsi="宋体" w:cs="宋体"/>
          <w:b/>
          <w:color w:val="auto"/>
          <w:sz w:val="24"/>
          <w:highlight w:val="none"/>
        </w:rPr>
        <w:t>对所报相关数据的真实性负责，采购代理机构有权将相关内容进行公示。</w:t>
      </w:r>
    </w:p>
    <w:p w14:paraId="621388EF">
      <w:pPr>
        <w:shd w:val="clear" w:color="auto"/>
        <w:spacing w:line="400" w:lineRule="exact"/>
        <w:ind w:firstLine="480"/>
        <w:outlineLvl w:val="0"/>
        <w:rPr>
          <w:rFonts w:ascii="宋体" w:hAnsi="宋体" w:cs="宋体"/>
          <w:color w:val="auto"/>
          <w:szCs w:val="21"/>
          <w:highlight w:val="none"/>
          <w:lang w:val="zh-CN"/>
        </w:rPr>
      </w:pPr>
      <w:r>
        <w:rPr>
          <w:rFonts w:hint="eastAsia" w:ascii="宋体" w:hAnsi="宋体" w:cs="宋体"/>
          <w:color w:val="auto"/>
          <w:sz w:val="24"/>
          <w:highlight w:val="none"/>
        </w:rPr>
        <w:br w:type="page" w:clear="all"/>
      </w:r>
    </w:p>
    <w:p w14:paraId="22C3A828">
      <w:pPr>
        <w:shd w:val="clear" w:color="auto"/>
        <w:tabs>
          <w:tab w:val="left" w:pos="0"/>
        </w:tabs>
        <w:spacing w:line="360" w:lineRule="auto"/>
        <w:rPr>
          <w:rFonts w:ascii="宋体" w:hAnsi="宋体" w:cs="宋体"/>
          <w:bCs/>
          <w:color w:val="auto"/>
          <w:sz w:val="24"/>
          <w:highlight w:val="none"/>
        </w:rPr>
      </w:pPr>
      <w:r>
        <w:rPr>
          <w:rFonts w:hint="eastAsia" w:ascii="宋体" w:hAnsi="宋体" w:cs="宋体"/>
          <w:bCs/>
          <w:color w:val="auto"/>
          <w:sz w:val="24"/>
          <w:highlight w:val="none"/>
        </w:rPr>
        <w:t>（三）政府采购投标及履约承诺函（格式）：</w:t>
      </w:r>
    </w:p>
    <w:p w14:paraId="53EE90D9">
      <w:pPr>
        <w:shd w:val="clear" w:color="auto"/>
        <w:rPr>
          <w:rFonts w:ascii="宋体" w:hAnsi="宋体" w:cs="宋体"/>
          <w:color w:val="auto"/>
          <w:highlight w:val="none"/>
        </w:rPr>
      </w:pPr>
    </w:p>
    <w:p w14:paraId="6B499382">
      <w:pPr>
        <w:shd w:val="clear" w:color="auto"/>
        <w:spacing w:line="360" w:lineRule="auto"/>
        <w:jc w:val="center"/>
        <w:rPr>
          <w:rFonts w:ascii="宋体" w:hAnsi="宋体" w:cs="宋体"/>
          <w:b/>
          <w:color w:val="auto"/>
          <w:sz w:val="28"/>
          <w:szCs w:val="28"/>
          <w:highlight w:val="none"/>
        </w:rPr>
      </w:pPr>
      <w:r>
        <w:rPr>
          <w:rFonts w:hint="eastAsia" w:ascii="宋体" w:hAnsi="宋体" w:cs="宋体"/>
          <w:b/>
          <w:color w:val="auto"/>
          <w:sz w:val="28"/>
          <w:szCs w:val="28"/>
          <w:highlight w:val="none"/>
        </w:rPr>
        <w:t>政府采购投标及履约承诺函</w:t>
      </w:r>
    </w:p>
    <w:p w14:paraId="04883C90">
      <w:pPr>
        <w:shd w:val="clear" w:color="auto"/>
        <w:spacing w:line="480" w:lineRule="auto"/>
        <w:rPr>
          <w:rFonts w:ascii="宋体" w:hAnsi="宋体" w:cs="宋体"/>
          <w:color w:val="auto"/>
          <w:sz w:val="24"/>
          <w:highlight w:val="none"/>
        </w:rPr>
      </w:pPr>
      <w:r>
        <w:rPr>
          <w:rFonts w:hint="eastAsia" w:ascii="宋体" w:hAnsi="宋体" w:cs="宋体"/>
          <w:color w:val="auto"/>
          <w:sz w:val="24"/>
          <w:highlight w:val="none"/>
        </w:rPr>
        <w:t>（投标供应商名称）在此承诺：</w:t>
      </w:r>
    </w:p>
    <w:p w14:paraId="6439995E">
      <w:pPr>
        <w:shd w:val="clear" w:color="auto"/>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 xml:space="preserve">我公司(单位)愿针对此次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（项目名称）进行投标。我单位承诺如下：</w:t>
      </w:r>
    </w:p>
    <w:p w14:paraId="1F92C177">
      <w:pPr>
        <w:shd w:val="clear" w:color="auto"/>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1.我单位本招标项目所提供的货物或服务未侵犯知识产权。</w:t>
      </w:r>
    </w:p>
    <w:p w14:paraId="32A1A073">
      <w:pPr>
        <w:shd w:val="clear" w:color="auto"/>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2.我单位参与本项目投标前三年内，在经营活动中没有违法记录。</w:t>
      </w:r>
    </w:p>
    <w:p w14:paraId="37066E0B">
      <w:pPr>
        <w:shd w:val="clear" w:color="auto"/>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 xml:space="preserve">3.我单位参与本项目政府采购活动时不存在被有关部门禁止参与政府采购活动且在有效期内的情况。 </w:t>
      </w:r>
    </w:p>
    <w:p w14:paraId="3E67CA66">
      <w:pPr>
        <w:shd w:val="clear" w:color="auto"/>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4.我单位具备《中华人民共和国政府采购法》第二十二条规定的条件，承诺如下：</w:t>
      </w:r>
    </w:p>
    <w:p w14:paraId="1B883CA1">
      <w:pPr>
        <w:shd w:val="clear" w:color="auto"/>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14:paraId="5434318C">
      <w:pPr>
        <w:shd w:val="clear" w:color="auto"/>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（2）我方符合法律、行政法规规定的其他条件。</w:t>
      </w:r>
    </w:p>
    <w:p w14:paraId="58C6B913">
      <w:pPr>
        <w:shd w:val="clear" w:color="auto"/>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5.我单位未被列入失信被执行人、税收违法案件当事人名单、政府采购严重违法失信行为记录名单。</w:t>
      </w:r>
    </w:p>
    <w:p w14:paraId="7D6305C7">
      <w:pPr>
        <w:shd w:val="clear" w:color="auto"/>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6.我方愿意向贵方提供任何与本项报价有关的数据、情况和技术资料。若贵方需要，我方愿意提供我方做出的一切承诺的证明材料。</w:t>
      </w:r>
    </w:p>
    <w:p w14:paraId="4B1F8AF6">
      <w:pPr>
        <w:shd w:val="clear" w:color="auto"/>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7.我方与其他供应商不存在单位负责人为同一人或者存在直接控股、管理关系。</w:t>
      </w:r>
    </w:p>
    <w:p w14:paraId="627EFB5B">
      <w:pPr>
        <w:shd w:val="clear" w:color="auto"/>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8.我方承诺未为本项目提供整体设计、规范编制或者项目管理、监理、检测等服务。</w:t>
      </w:r>
    </w:p>
    <w:p w14:paraId="2FD5C879">
      <w:pPr>
        <w:shd w:val="clear" w:color="auto"/>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p>
    <w:p w14:paraId="30FF87E5">
      <w:pPr>
        <w:shd w:val="clear" w:color="auto"/>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10.我单位如果中标，做到诚实守信，依照本项目招标文件需求内容、签署的采购合同及本单位在投标中所做的一切承诺履约。</w:t>
      </w:r>
    </w:p>
    <w:p w14:paraId="024A66F3">
      <w:pPr>
        <w:shd w:val="clear" w:color="auto"/>
        <w:spacing w:line="360" w:lineRule="auto"/>
        <w:ind w:firstLine="480"/>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rPr>
        <w:t>11.我单位承诺本项目的报价不低于我单位的成本价，不恶意低价谋取中标；对本项目的报价负责，中标后将严格按照本项目招标文件需求、签署的采购合同及我单位在投标中所作的全部承诺履行。我单位将按时保质保量完成，并全力配合有关监管、验收工作</w:t>
      </w:r>
      <w:r>
        <w:rPr>
          <w:rFonts w:hint="eastAsia" w:ascii="宋体" w:hAnsi="宋体" w:cs="宋体"/>
          <w:bCs/>
          <w:color w:val="auto"/>
          <w:sz w:val="24"/>
          <w:highlight w:val="none"/>
          <w:lang w:eastAsia="zh-CN"/>
        </w:rPr>
        <w:t>。</w:t>
      </w:r>
    </w:p>
    <w:p w14:paraId="2555C11E">
      <w:pPr>
        <w:shd w:val="clear" w:color="auto"/>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14:paraId="4AE35FE8">
      <w:pPr>
        <w:shd w:val="clear" w:color="auto"/>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13.我单位承诺不非法转包、分包。</w:t>
      </w:r>
    </w:p>
    <w:p w14:paraId="2B85001E">
      <w:pPr>
        <w:shd w:val="clear" w:color="auto"/>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14.我单位承诺未参与本项目的采购需求、技术指标、商务指标等内容的设定，不存在对其他投标供应商不公平的行为。</w:t>
      </w:r>
    </w:p>
    <w:p w14:paraId="49A867BE">
      <w:pPr>
        <w:shd w:val="clear" w:color="auto"/>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以上承诺，如有违反，愿依照国家相关法律处理，并承担由此给采购人带来的损失。</w:t>
      </w:r>
    </w:p>
    <w:p w14:paraId="06843ACA">
      <w:pPr>
        <w:shd w:val="clear" w:color="auto"/>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15.所有与本项目有关的函件请发往下列地址：</w:t>
      </w:r>
    </w:p>
    <w:p w14:paraId="720B2784">
      <w:pPr>
        <w:shd w:val="clear" w:color="auto"/>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地 址：__________________，邮政编码：__________________</w:t>
      </w:r>
    </w:p>
    <w:p w14:paraId="4E4603BF">
      <w:pPr>
        <w:shd w:val="clear" w:color="auto"/>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电 话：__________________，传 真：__________________</w:t>
      </w:r>
    </w:p>
    <w:p w14:paraId="5EFABFEF">
      <w:pPr>
        <w:shd w:val="clear" w:color="auto"/>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代表姓名：_______________，职 务：__________________</w:t>
      </w:r>
    </w:p>
    <w:p w14:paraId="507E5B01">
      <w:pPr>
        <w:shd w:val="clear" w:color="auto"/>
        <w:spacing w:line="360" w:lineRule="auto"/>
        <w:ind w:firstLine="480"/>
        <w:rPr>
          <w:rFonts w:ascii="宋体" w:hAnsi="宋体" w:cs="宋体"/>
          <w:bCs/>
          <w:color w:val="auto"/>
          <w:sz w:val="24"/>
          <w:highlight w:val="none"/>
        </w:rPr>
      </w:pPr>
    </w:p>
    <w:p w14:paraId="761F8B3E">
      <w:pPr>
        <w:shd w:val="clear" w:color="auto"/>
        <w:spacing w:line="480" w:lineRule="auto"/>
        <w:ind w:firstLine="3720"/>
        <w:rPr>
          <w:rFonts w:ascii="宋体" w:hAnsi="宋体" w:cs="宋体"/>
          <w:bCs/>
          <w:color w:val="auto"/>
          <w:sz w:val="24"/>
          <w:highlight w:val="none"/>
        </w:rPr>
      </w:pPr>
      <w:r>
        <w:rPr>
          <w:rFonts w:hint="eastAsia" w:ascii="宋体" w:hAnsi="宋体" w:cs="宋体"/>
          <w:bCs/>
          <w:color w:val="auto"/>
          <w:sz w:val="24"/>
          <w:highlight w:val="none"/>
        </w:rPr>
        <w:t>投标供应商（盖章）：</w:t>
      </w:r>
    </w:p>
    <w:p w14:paraId="66C008BF">
      <w:pPr>
        <w:shd w:val="clear" w:color="auto"/>
        <w:spacing w:line="480" w:lineRule="auto"/>
        <w:ind w:firstLine="2191"/>
        <w:rPr>
          <w:rFonts w:ascii="宋体" w:hAnsi="宋体" w:cs="宋体"/>
          <w:bCs/>
          <w:color w:val="auto"/>
          <w:sz w:val="24"/>
          <w:highlight w:val="none"/>
        </w:rPr>
      </w:pPr>
      <w:r>
        <w:rPr>
          <w:rFonts w:hint="eastAsia" w:ascii="宋体" w:hAnsi="宋体" w:cs="宋体"/>
          <w:bCs/>
          <w:color w:val="auto"/>
          <w:sz w:val="24"/>
          <w:highlight w:val="none"/>
        </w:rPr>
        <w:t>法定代表人或法定代表人授权代表签字或盖章：</w:t>
      </w:r>
    </w:p>
    <w:p w14:paraId="5A315C26">
      <w:pPr>
        <w:shd w:val="clear" w:color="auto"/>
        <w:ind w:firstLine="4080"/>
        <w:jc w:val="left"/>
        <w:outlineLvl w:val="0"/>
        <w:rPr>
          <w:rFonts w:ascii="宋体" w:hAnsi="宋体" w:cs="宋体"/>
          <w:bCs/>
          <w:color w:val="auto"/>
          <w:sz w:val="24"/>
          <w:highlight w:val="none"/>
        </w:rPr>
      </w:pPr>
      <w:r>
        <w:rPr>
          <w:rFonts w:hint="eastAsia" w:ascii="宋体" w:hAnsi="宋体" w:cs="宋体"/>
          <w:bCs/>
          <w:color w:val="auto"/>
          <w:sz w:val="24"/>
          <w:highlight w:val="none"/>
        </w:rPr>
        <w:t>日  期：</w:t>
      </w:r>
      <w:r>
        <w:rPr>
          <w:rFonts w:hint="eastAsia" w:ascii="宋体" w:hAnsi="宋体" w:cs="宋体"/>
          <w:bCs/>
          <w:color w:val="auto"/>
          <w:sz w:val="24"/>
          <w:highlight w:val="none"/>
        </w:rPr>
        <w:br w:type="page" w:clear="all"/>
      </w:r>
      <w:r>
        <w:rPr>
          <w:rFonts w:hint="eastAsia" w:ascii="宋体" w:hAnsi="宋体" w:cs="宋体"/>
          <w:bCs/>
          <w:color w:val="auto"/>
          <w:sz w:val="24"/>
          <w:highlight w:val="none"/>
        </w:rPr>
        <w:t>（四）法定代表人授权委托书（格式）</w:t>
      </w:r>
    </w:p>
    <w:p w14:paraId="69A91BFD">
      <w:pPr>
        <w:pStyle w:val="229"/>
        <w:shd w:val="clear" w:color="auto"/>
        <w:spacing w:before="0" w:after="0" w:line="360" w:lineRule="auto"/>
        <w:jc w:val="center"/>
        <w:rPr>
          <w:rFonts w:ascii="宋体" w:hAnsi="宋体" w:eastAsia="宋体" w:cs="宋体"/>
          <w:bCs w:val="0"/>
          <w:color w:val="auto"/>
          <w:highlight w:val="none"/>
        </w:rPr>
      </w:pPr>
    </w:p>
    <w:p w14:paraId="07D46E80">
      <w:pPr>
        <w:shd w:val="clear" w:color="auto"/>
        <w:jc w:val="center"/>
        <w:outlineLvl w:val="0"/>
        <w:rPr>
          <w:rFonts w:ascii="宋体" w:hAnsi="宋体" w:cs="宋体"/>
          <w:b/>
          <w:bCs/>
          <w:color w:val="auto"/>
          <w:sz w:val="30"/>
          <w:szCs w:val="30"/>
          <w:highlight w:val="none"/>
        </w:rPr>
      </w:pPr>
      <w:r>
        <w:rPr>
          <w:rFonts w:hint="eastAsia" w:ascii="宋体" w:hAnsi="宋体" w:cs="宋体"/>
          <w:b/>
          <w:bCs/>
          <w:color w:val="auto"/>
          <w:sz w:val="30"/>
          <w:szCs w:val="30"/>
          <w:highlight w:val="none"/>
        </w:rPr>
        <w:t>法定代表人授权委托书</w:t>
      </w:r>
    </w:p>
    <w:p w14:paraId="37DA7514">
      <w:pPr>
        <w:shd w:val="clear" w:color="auto"/>
        <w:jc w:val="left"/>
        <w:outlineLvl w:val="0"/>
        <w:rPr>
          <w:rFonts w:ascii="宋体" w:hAnsi="宋体" w:cs="宋体"/>
          <w:bCs/>
          <w:color w:val="auto"/>
          <w:sz w:val="24"/>
          <w:highlight w:val="none"/>
        </w:rPr>
      </w:pPr>
    </w:p>
    <w:p w14:paraId="21032936">
      <w:pPr>
        <w:shd w:val="clear" w:color="auto"/>
        <w:spacing w:line="360" w:lineRule="auto"/>
        <w:jc w:val="center"/>
        <w:rPr>
          <w:rFonts w:ascii="宋体" w:hAnsi="宋体" w:cs="宋体"/>
          <w:color w:val="auto"/>
          <w:sz w:val="24"/>
          <w:highlight w:val="none"/>
        </w:rPr>
      </w:pPr>
      <w:r>
        <w:rPr>
          <w:rFonts w:hint="eastAsia" w:ascii="宋体" w:hAnsi="宋体" w:cs="宋体"/>
          <w:color w:val="auto"/>
          <w:sz w:val="24"/>
          <w:highlight w:val="none"/>
        </w:rPr>
        <w:t>采购编号：</w:t>
      </w:r>
    </w:p>
    <w:p w14:paraId="704D6AD9">
      <w:pPr>
        <w:shd w:val="clear" w:color="auto"/>
        <w:spacing w:line="360" w:lineRule="auto"/>
        <w:jc w:val="center"/>
        <w:rPr>
          <w:rFonts w:ascii="宋体" w:hAnsi="宋体" w:cs="宋体"/>
          <w:color w:val="auto"/>
          <w:sz w:val="24"/>
          <w:highlight w:val="none"/>
        </w:rPr>
      </w:pPr>
      <w:r>
        <w:rPr>
          <w:rFonts w:hint="eastAsia" w:ascii="宋体" w:hAnsi="宋体" w:cs="宋体"/>
          <w:color w:val="auto"/>
          <w:sz w:val="24"/>
          <w:highlight w:val="none"/>
        </w:rPr>
        <w:t xml:space="preserve">    日期：</w:t>
      </w:r>
    </w:p>
    <w:p w14:paraId="626FA270">
      <w:pPr>
        <w:shd w:val="clear" w:color="auto"/>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lang w:eastAsia="zh-CN"/>
        </w:rPr>
        <w:t>北京中昌工程咨询有限公司</w:t>
      </w:r>
      <w:r>
        <w:rPr>
          <w:rFonts w:hint="eastAsia" w:ascii="宋体" w:hAnsi="宋体" w:cs="宋体"/>
          <w:color w:val="auto"/>
          <w:sz w:val="24"/>
          <w:highlight w:val="none"/>
          <w:u w:val="single"/>
        </w:rPr>
        <w:t>：</w:t>
      </w:r>
    </w:p>
    <w:p w14:paraId="57096FEB">
      <w:pPr>
        <w:shd w:val="clear" w:color="auto"/>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（投标供应商名称）       </w:t>
      </w:r>
      <w:r>
        <w:rPr>
          <w:rFonts w:hint="eastAsia" w:ascii="宋体" w:hAnsi="宋体" w:cs="宋体"/>
          <w:color w:val="auto"/>
          <w:sz w:val="24"/>
          <w:highlight w:val="none"/>
        </w:rPr>
        <w:t>系中华人民共和国合法企业，</w:t>
      </w:r>
    </w:p>
    <w:p w14:paraId="269A7371">
      <w:pPr>
        <w:shd w:val="clear" w:color="auto"/>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法定地址：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特授权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代表我公司（单位）全权办理针对本项目（采购编号：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）的报价等具体工作，并签署全部有关文件、协议及合同。</w:t>
      </w:r>
    </w:p>
    <w:p w14:paraId="78E9D9EC">
      <w:pPr>
        <w:shd w:val="clear" w:color="auto"/>
        <w:spacing w:line="360" w:lineRule="auto"/>
        <w:ind w:firstLine="480"/>
        <w:rPr>
          <w:rFonts w:ascii="宋体" w:hAnsi="宋体" w:cs="宋体"/>
          <w:color w:val="auto"/>
          <w:sz w:val="24"/>
          <w:highlight w:val="none"/>
        </w:rPr>
      </w:pPr>
      <w:r>
        <w:rPr>
          <w:rFonts w:hint="eastAsia" w:ascii="宋体" w:hAnsi="宋体" w:cs="宋体"/>
          <w:color w:val="auto"/>
          <w:sz w:val="24"/>
          <w:highlight w:val="none"/>
        </w:rPr>
        <w:t>我公司（单位）对被授权人的签名负全部责任。</w:t>
      </w:r>
    </w:p>
    <w:p w14:paraId="308377B7">
      <w:pPr>
        <w:shd w:val="clear" w:color="auto"/>
        <w:spacing w:line="360" w:lineRule="auto"/>
        <w:ind w:firstLine="480"/>
        <w:rPr>
          <w:rFonts w:ascii="宋体" w:hAnsi="宋体" w:cs="宋体"/>
          <w:color w:val="auto"/>
          <w:sz w:val="24"/>
          <w:highlight w:val="none"/>
        </w:rPr>
      </w:pPr>
      <w:r>
        <w:rPr>
          <w:rFonts w:hint="eastAsia" w:ascii="宋体" w:hAnsi="宋体" w:cs="宋体"/>
          <w:color w:val="auto"/>
          <w:sz w:val="24"/>
          <w:highlight w:val="none"/>
        </w:rPr>
        <w:t>在撤销授权的书面通知送达你处以前，本授权书一直有效，被授权人签署的所有文件（在授权书有效期内签署的）不因授权的撤销而失效。被授权人有（无）转委托权。</w:t>
      </w:r>
    </w:p>
    <w:p w14:paraId="242F2D98">
      <w:pPr>
        <w:shd w:val="clear" w:color="auto"/>
        <w:spacing w:line="360" w:lineRule="auto"/>
        <w:ind w:firstLine="480"/>
        <w:rPr>
          <w:rFonts w:ascii="宋体" w:hAnsi="宋体" w:cs="宋体"/>
          <w:color w:val="auto"/>
          <w:sz w:val="24"/>
          <w:highlight w:val="none"/>
        </w:rPr>
      </w:pPr>
      <w:r>
        <w:rPr>
          <w:rFonts w:hint="eastAsia" w:ascii="宋体" w:hAnsi="宋体" w:cs="宋体"/>
          <w:color w:val="auto"/>
          <w:sz w:val="24"/>
          <w:highlight w:val="none"/>
        </w:rPr>
        <w:t>被授权人情况：</w:t>
      </w:r>
    </w:p>
    <w:p w14:paraId="270125DC">
      <w:pPr>
        <w:shd w:val="clear" w:color="auto"/>
        <w:spacing w:line="360" w:lineRule="auto"/>
        <w:ind w:firstLine="480"/>
        <w:rPr>
          <w:rFonts w:ascii="宋体" w:hAnsi="宋体" w:cs="宋体"/>
          <w:color w:val="auto"/>
          <w:sz w:val="24"/>
          <w:highlight w:val="none"/>
        </w:rPr>
      </w:pPr>
      <w:r>
        <w:rPr>
          <w:rFonts w:hint="eastAsia" w:ascii="宋体" w:hAnsi="宋体" w:cs="宋体"/>
          <w:color w:val="auto"/>
          <w:sz w:val="24"/>
          <w:highlight w:val="none"/>
        </w:rPr>
        <w:t>姓名：          性别：         年龄：          职务：</w:t>
      </w:r>
    </w:p>
    <w:p w14:paraId="4C4EF267">
      <w:pPr>
        <w:shd w:val="clear" w:color="auto"/>
        <w:spacing w:line="360" w:lineRule="auto"/>
        <w:ind w:firstLine="480"/>
        <w:rPr>
          <w:rFonts w:ascii="宋体" w:hAnsi="宋体" w:cs="宋体"/>
          <w:color w:val="auto"/>
          <w:sz w:val="24"/>
          <w:highlight w:val="none"/>
        </w:rPr>
      </w:pPr>
      <w:r>
        <w:rPr>
          <w:rFonts w:hint="eastAsia" w:ascii="宋体" w:hAnsi="宋体" w:cs="宋体"/>
          <w:color w:val="auto"/>
          <w:sz w:val="24"/>
          <w:highlight w:val="none"/>
        </w:rPr>
        <w:t>身份证号码：                   电话：</w:t>
      </w:r>
    </w:p>
    <w:p w14:paraId="009631ED">
      <w:pPr>
        <w:shd w:val="clear" w:color="auto"/>
        <w:spacing w:line="360" w:lineRule="auto"/>
        <w:ind w:firstLine="480"/>
        <w:rPr>
          <w:rFonts w:ascii="宋体" w:hAnsi="宋体" w:cs="宋体"/>
          <w:color w:val="auto"/>
          <w:sz w:val="24"/>
          <w:highlight w:val="none"/>
        </w:rPr>
      </w:pPr>
      <w:r>
        <w:rPr>
          <w:rFonts w:hint="eastAsia" w:ascii="宋体" w:hAnsi="宋体" w:cs="宋体"/>
          <w:color w:val="auto"/>
          <w:sz w:val="24"/>
          <w:highlight w:val="none"/>
        </w:rPr>
        <w:t>通讯地址：</w:t>
      </w:r>
    </w:p>
    <w:p w14:paraId="5FBB56C6">
      <w:pPr>
        <w:shd w:val="clear" w:color="auto"/>
        <w:spacing w:line="360" w:lineRule="auto"/>
        <w:ind w:firstLine="480"/>
        <w:rPr>
          <w:rFonts w:ascii="宋体" w:hAnsi="宋体" w:cs="宋体"/>
          <w:color w:val="auto"/>
          <w:sz w:val="24"/>
          <w:highlight w:val="none"/>
        </w:rPr>
      </w:pPr>
      <w:r>
        <w:rPr>
          <w:rFonts w:hint="eastAsia" w:ascii="宋体" w:hAnsi="宋体" w:cs="宋体"/>
          <w:color w:val="auto"/>
          <w:sz w:val="24"/>
          <w:highlight w:val="none"/>
        </w:rPr>
        <w:t>被授权人签名：                  投标供应商（盖章）：</w:t>
      </w:r>
    </w:p>
    <w:p w14:paraId="636B4D17">
      <w:pPr>
        <w:shd w:val="clear" w:color="auto"/>
        <w:spacing w:line="360" w:lineRule="auto"/>
        <w:ind w:firstLine="4320"/>
        <w:rPr>
          <w:rFonts w:ascii="宋体" w:hAnsi="宋体" w:cs="宋体"/>
          <w:color w:val="auto"/>
          <w:sz w:val="24"/>
          <w:highlight w:val="none"/>
        </w:rPr>
      </w:pPr>
      <w:r>
        <w:rPr>
          <w:rFonts w:hint="eastAsia" w:ascii="宋体" w:hAnsi="宋体" w:cs="宋体"/>
          <w:color w:val="auto"/>
          <w:sz w:val="24"/>
          <w:highlight w:val="none"/>
        </w:rPr>
        <w:t>法定代表人（签字或盖章）：</w:t>
      </w:r>
    </w:p>
    <w:p w14:paraId="542B8133">
      <w:pPr>
        <w:shd w:val="clear" w:color="auto"/>
        <w:spacing w:line="360" w:lineRule="auto"/>
        <w:ind w:firstLine="5760"/>
        <w:rPr>
          <w:rFonts w:ascii="宋体" w:hAnsi="宋体" w:cs="宋体"/>
          <w:color w:val="auto"/>
          <w:sz w:val="24"/>
          <w:highlight w:val="none"/>
        </w:rPr>
      </w:pPr>
      <w:r>
        <w:rPr>
          <w:rFonts w:hint="eastAsia" w:ascii="宋体" w:hAnsi="宋体" w:cs="宋体"/>
          <w:color w:val="auto"/>
          <w:sz w:val="24"/>
          <w:highlight w:val="none"/>
        </w:rPr>
        <w:t>年     月     日</w:t>
      </w:r>
    </w:p>
    <w:p w14:paraId="570AD2A0">
      <w:pPr>
        <w:shd w:val="clear" w:color="auto"/>
        <w:spacing w:line="360" w:lineRule="auto"/>
        <w:ind w:firstLine="5760"/>
        <w:rPr>
          <w:rFonts w:ascii="宋体" w:hAnsi="宋体" w:cs="宋体"/>
          <w:color w:val="auto"/>
          <w:sz w:val="24"/>
          <w:highlight w:val="none"/>
        </w:rPr>
      </w:pPr>
    </w:p>
    <w:tbl>
      <w:tblPr>
        <w:tblStyle w:val="34"/>
        <w:tblW w:w="0" w:type="auto"/>
        <w:tblInd w:w="-2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80"/>
        <w:gridCol w:w="720"/>
        <w:gridCol w:w="4792"/>
      </w:tblGrid>
      <w:tr w14:paraId="7C0DE7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20" w:hRule="atLeast"/>
        </w:trPr>
        <w:tc>
          <w:tcPr>
            <w:tcW w:w="4680" w:type="dxa"/>
            <w:noWrap w:val="0"/>
          </w:tcPr>
          <w:p w14:paraId="3E045E24">
            <w:pPr>
              <w:widowControl/>
              <w:shd w:val="clear" w:color="auto"/>
              <w:spacing w:before="4" w:line="360" w:lineRule="auto"/>
              <w:rPr>
                <w:rFonts w:ascii="宋体" w:hAnsi="宋体" w:cs="宋体"/>
                <w:color w:val="auto"/>
                <w:sz w:val="24"/>
                <w:highlight w:val="none"/>
              </w:rPr>
            </w:pPr>
          </w:p>
          <w:p w14:paraId="3509D76F">
            <w:pPr>
              <w:widowControl/>
              <w:shd w:val="clear" w:color="auto"/>
              <w:spacing w:before="4" w:line="360" w:lineRule="auto"/>
              <w:rPr>
                <w:rFonts w:ascii="宋体" w:hAnsi="宋体" w:cs="宋体"/>
                <w:color w:val="auto"/>
                <w:sz w:val="24"/>
                <w:highlight w:val="none"/>
              </w:rPr>
            </w:pPr>
          </w:p>
          <w:p w14:paraId="646A12B7">
            <w:pPr>
              <w:widowControl/>
              <w:shd w:val="clear" w:color="auto"/>
              <w:spacing w:before="4" w:line="360" w:lineRule="auto"/>
              <w:jc w:val="center"/>
              <w:rPr>
                <w:rFonts w:ascii="宋体" w:hAnsi="宋体" w:cs="宋体"/>
                <w:color w:val="auto"/>
                <w:sz w:val="24"/>
                <w:highlight w:val="none"/>
              </w:rPr>
            </w:pPr>
            <w:r>
              <w:rPr>
                <w:rFonts w:hint="eastAsia" w:ascii="宋体" w:hAnsi="宋体" w:cs="宋体"/>
                <w:color w:val="auto"/>
                <w:sz w:val="24"/>
                <w:highlight w:val="none"/>
              </w:rPr>
              <w:t>法定代表人身份证复印件</w:t>
            </w:r>
          </w:p>
        </w:tc>
        <w:tc>
          <w:tcPr>
            <w:tcW w:w="720" w:type="dxa"/>
            <w:tcBorders>
              <w:top w:val="nil"/>
              <w:bottom w:val="nil"/>
            </w:tcBorders>
            <w:noWrap w:val="0"/>
          </w:tcPr>
          <w:p w14:paraId="60FEEE00">
            <w:pPr>
              <w:widowControl/>
              <w:shd w:val="clear" w:color="auto"/>
              <w:jc w:val="left"/>
              <w:rPr>
                <w:rFonts w:ascii="宋体" w:hAnsi="宋体" w:cs="宋体"/>
                <w:color w:val="auto"/>
                <w:sz w:val="24"/>
                <w:highlight w:val="none"/>
              </w:rPr>
            </w:pPr>
          </w:p>
        </w:tc>
        <w:tc>
          <w:tcPr>
            <w:tcW w:w="4792" w:type="dxa"/>
            <w:noWrap w:val="0"/>
          </w:tcPr>
          <w:p w14:paraId="7C8AD5D1">
            <w:pPr>
              <w:widowControl/>
              <w:shd w:val="clear" w:color="auto"/>
              <w:spacing w:before="4" w:line="360" w:lineRule="auto"/>
              <w:rPr>
                <w:rFonts w:ascii="宋体" w:hAnsi="宋体" w:cs="宋体"/>
                <w:color w:val="auto"/>
                <w:sz w:val="24"/>
                <w:highlight w:val="none"/>
              </w:rPr>
            </w:pPr>
          </w:p>
          <w:p w14:paraId="55F70379">
            <w:pPr>
              <w:widowControl/>
              <w:shd w:val="clear" w:color="auto"/>
              <w:spacing w:before="4" w:line="360" w:lineRule="auto"/>
              <w:rPr>
                <w:rFonts w:ascii="宋体" w:hAnsi="宋体" w:cs="宋体"/>
                <w:color w:val="auto"/>
                <w:sz w:val="24"/>
                <w:highlight w:val="none"/>
              </w:rPr>
            </w:pPr>
          </w:p>
          <w:p w14:paraId="501818A8">
            <w:pPr>
              <w:widowControl/>
              <w:shd w:val="clear" w:color="auto"/>
              <w:spacing w:before="4" w:line="360" w:lineRule="auto"/>
              <w:jc w:val="center"/>
              <w:rPr>
                <w:rFonts w:ascii="宋体" w:hAnsi="宋体" w:cs="宋体"/>
                <w:color w:val="auto"/>
                <w:sz w:val="24"/>
                <w:highlight w:val="none"/>
              </w:rPr>
            </w:pPr>
            <w:r>
              <w:rPr>
                <w:rFonts w:hint="eastAsia" w:ascii="宋体" w:hAnsi="宋体" w:cs="宋体"/>
                <w:color w:val="auto"/>
                <w:sz w:val="24"/>
                <w:highlight w:val="none"/>
              </w:rPr>
              <w:t>授权代表身份证复印件</w:t>
            </w:r>
          </w:p>
        </w:tc>
      </w:tr>
    </w:tbl>
    <w:p w14:paraId="3A0A53D4">
      <w:pPr>
        <w:shd w:val="clear" w:color="auto"/>
        <w:spacing w:line="360" w:lineRule="auto"/>
        <w:jc w:val="center"/>
        <w:outlineLvl w:val="0"/>
        <w:rPr>
          <w:rFonts w:ascii="宋体" w:hAnsi="宋体" w:cs="宋体"/>
          <w:b/>
          <w:bCs/>
          <w:color w:val="auto"/>
          <w:sz w:val="30"/>
          <w:szCs w:val="30"/>
          <w:highlight w:val="none"/>
        </w:rPr>
      </w:pPr>
      <w:r>
        <w:rPr>
          <w:rFonts w:hint="eastAsia" w:ascii="宋体" w:hAnsi="宋体" w:cs="宋体"/>
          <w:color w:val="auto"/>
          <w:sz w:val="24"/>
          <w:highlight w:val="none"/>
        </w:rPr>
        <w:br w:type="page" w:clear="all"/>
      </w:r>
      <w:r>
        <w:rPr>
          <w:rFonts w:hint="eastAsia" w:ascii="宋体" w:hAnsi="宋体" w:cs="宋体"/>
          <w:b/>
          <w:bCs/>
          <w:color w:val="auto"/>
          <w:sz w:val="30"/>
          <w:szCs w:val="30"/>
          <w:highlight w:val="none"/>
        </w:rPr>
        <w:t>法定代表人亲自参加投标的需提供：</w:t>
      </w:r>
    </w:p>
    <w:p w14:paraId="31D0DCB6">
      <w:pPr>
        <w:shd w:val="clear" w:color="auto"/>
        <w:spacing w:line="360" w:lineRule="auto"/>
        <w:jc w:val="center"/>
        <w:outlineLvl w:val="0"/>
        <w:rPr>
          <w:rFonts w:ascii="宋体" w:hAnsi="宋体" w:cs="宋体"/>
          <w:b/>
          <w:bCs/>
          <w:color w:val="auto"/>
          <w:sz w:val="30"/>
          <w:szCs w:val="30"/>
          <w:highlight w:val="none"/>
        </w:rPr>
      </w:pPr>
      <w:r>
        <w:rPr>
          <w:rFonts w:hint="eastAsia" w:ascii="宋体" w:hAnsi="宋体" w:cs="宋体"/>
          <w:b/>
          <w:bCs/>
          <w:color w:val="auto"/>
          <w:sz w:val="30"/>
          <w:szCs w:val="30"/>
          <w:highlight w:val="none"/>
        </w:rPr>
        <w:t>法定代表人身份证明书（格式）</w:t>
      </w:r>
    </w:p>
    <w:p w14:paraId="68D49B47">
      <w:pPr>
        <w:shd w:val="clear" w:color="auto"/>
        <w:spacing w:line="360" w:lineRule="auto"/>
        <w:ind w:firstLine="612"/>
        <w:rPr>
          <w:rFonts w:ascii="宋体" w:hAnsi="宋体" w:cs="宋体"/>
          <w:color w:val="auto"/>
          <w:sz w:val="24"/>
          <w:highlight w:val="none"/>
        </w:rPr>
      </w:pPr>
      <w:r>
        <w:rPr>
          <w:rFonts w:hint="eastAsia" w:ascii="宋体" w:hAnsi="宋体" w:cs="宋体"/>
          <w:color w:val="auto"/>
          <w:sz w:val="24"/>
          <w:highlight w:val="none"/>
        </w:rPr>
        <w:t>单位名称：</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p>
    <w:p w14:paraId="5E91825D">
      <w:pPr>
        <w:shd w:val="clear" w:color="auto"/>
        <w:spacing w:line="360" w:lineRule="auto"/>
        <w:ind w:firstLine="612"/>
        <w:rPr>
          <w:rFonts w:ascii="宋体" w:hAnsi="宋体" w:cs="宋体"/>
          <w:color w:val="auto"/>
          <w:sz w:val="24"/>
          <w:highlight w:val="none"/>
        </w:rPr>
      </w:pPr>
    </w:p>
    <w:p w14:paraId="2E7C99DC">
      <w:pPr>
        <w:shd w:val="clear" w:color="auto"/>
        <w:spacing w:line="360" w:lineRule="auto"/>
        <w:ind w:firstLine="610"/>
        <w:rPr>
          <w:rFonts w:ascii="宋体" w:hAnsi="宋体" w:cs="宋体"/>
          <w:color w:val="auto"/>
          <w:sz w:val="24"/>
          <w:highlight w:val="none"/>
          <w:u w:val="single"/>
        </w:rPr>
      </w:pPr>
      <w:r>
        <w:rPr>
          <w:rFonts w:hint="eastAsia" w:ascii="宋体" w:hAnsi="宋体" w:cs="宋体"/>
          <w:color w:val="auto"/>
          <w:sz w:val="24"/>
          <w:highlight w:val="none"/>
        </w:rPr>
        <w:t>单位性质：</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p>
    <w:p w14:paraId="525451E1">
      <w:pPr>
        <w:shd w:val="clear" w:color="auto"/>
        <w:spacing w:line="360" w:lineRule="auto"/>
        <w:ind w:firstLine="610"/>
        <w:rPr>
          <w:rFonts w:ascii="宋体" w:hAnsi="宋体" w:cs="宋体"/>
          <w:color w:val="auto"/>
          <w:sz w:val="24"/>
          <w:highlight w:val="none"/>
        </w:rPr>
      </w:pPr>
    </w:p>
    <w:p w14:paraId="7B9FA77E">
      <w:pPr>
        <w:shd w:val="clear" w:color="auto"/>
        <w:spacing w:line="360" w:lineRule="auto"/>
        <w:ind w:firstLine="610"/>
        <w:rPr>
          <w:rFonts w:ascii="宋体" w:hAnsi="宋体" w:cs="宋体"/>
          <w:color w:val="auto"/>
          <w:sz w:val="24"/>
          <w:highlight w:val="none"/>
          <w:u w:val="single"/>
        </w:rPr>
      </w:pPr>
      <w:r>
        <w:rPr>
          <w:rFonts w:hint="eastAsia" w:ascii="宋体" w:hAnsi="宋体" w:cs="宋体"/>
          <w:color w:val="auto"/>
          <w:sz w:val="24"/>
          <w:highlight w:val="none"/>
        </w:rPr>
        <w:t>地    址：</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p>
    <w:p w14:paraId="55EE7A71">
      <w:pPr>
        <w:shd w:val="clear" w:color="auto"/>
        <w:spacing w:line="360" w:lineRule="auto"/>
        <w:ind w:firstLine="610"/>
        <w:rPr>
          <w:rFonts w:ascii="宋体" w:hAnsi="宋体" w:cs="宋体"/>
          <w:color w:val="auto"/>
          <w:sz w:val="24"/>
          <w:highlight w:val="none"/>
        </w:rPr>
      </w:pPr>
    </w:p>
    <w:p w14:paraId="16CF329D">
      <w:pPr>
        <w:shd w:val="clear" w:color="auto"/>
        <w:spacing w:line="360" w:lineRule="auto"/>
        <w:ind w:firstLine="610"/>
        <w:rPr>
          <w:rFonts w:ascii="宋体" w:hAnsi="宋体" w:cs="宋体"/>
          <w:color w:val="auto"/>
          <w:sz w:val="24"/>
          <w:highlight w:val="none"/>
        </w:rPr>
      </w:pPr>
      <w:r>
        <w:rPr>
          <w:rFonts w:hint="eastAsia" w:ascii="宋体" w:hAnsi="宋体" w:cs="宋体"/>
          <w:color w:val="auto"/>
          <w:sz w:val="24"/>
          <w:highlight w:val="none"/>
        </w:rPr>
        <w:t>成立时间： 年  月  日</w:t>
      </w:r>
    </w:p>
    <w:p w14:paraId="065CD54C">
      <w:pPr>
        <w:shd w:val="clear" w:color="auto"/>
        <w:spacing w:line="360" w:lineRule="auto"/>
        <w:ind w:firstLine="610"/>
        <w:rPr>
          <w:rFonts w:ascii="宋体" w:hAnsi="宋体" w:cs="宋体"/>
          <w:color w:val="auto"/>
          <w:sz w:val="24"/>
          <w:highlight w:val="none"/>
        </w:rPr>
      </w:pPr>
    </w:p>
    <w:p w14:paraId="64C86E7A">
      <w:pPr>
        <w:shd w:val="clear" w:color="auto"/>
        <w:spacing w:line="360" w:lineRule="auto"/>
        <w:ind w:firstLine="610"/>
        <w:rPr>
          <w:rFonts w:ascii="宋体" w:hAnsi="宋体" w:cs="宋体"/>
          <w:color w:val="auto"/>
          <w:sz w:val="24"/>
          <w:highlight w:val="none"/>
          <w:u w:val="single"/>
        </w:rPr>
      </w:pPr>
      <w:r>
        <w:rPr>
          <w:rFonts w:hint="eastAsia" w:ascii="宋体" w:hAnsi="宋体" w:cs="宋体"/>
          <w:color w:val="auto"/>
          <w:sz w:val="24"/>
          <w:highlight w:val="none"/>
        </w:rPr>
        <w:t>经营期限：</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ab/>
      </w:r>
    </w:p>
    <w:p w14:paraId="3D814812">
      <w:pPr>
        <w:shd w:val="clear" w:color="auto"/>
        <w:spacing w:line="360" w:lineRule="auto"/>
        <w:ind w:firstLine="610"/>
        <w:rPr>
          <w:rFonts w:ascii="宋体" w:hAnsi="宋体" w:cs="宋体"/>
          <w:color w:val="auto"/>
          <w:sz w:val="24"/>
          <w:highlight w:val="none"/>
        </w:rPr>
      </w:pPr>
    </w:p>
    <w:p w14:paraId="58AB247E">
      <w:pPr>
        <w:shd w:val="clear" w:color="auto"/>
        <w:spacing w:line="360" w:lineRule="auto"/>
        <w:ind w:firstLine="610"/>
        <w:rPr>
          <w:rFonts w:ascii="宋体" w:hAnsi="宋体" w:cs="宋体"/>
          <w:color w:val="auto"/>
          <w:sz w:val="24"/>
          <w:highlight w:val="none"/>
          <w:u w:val="single"/>
        </w:rPr>
      </w:pPr>
      <w:r>
        <w:rPr>
          <w:rFonts w:hint="eastAsia" w:ascii="宋体" w:hAnsi="宋体" w:cs="宋体"/>
          <w:color w:val="auto"/>
          <w:sz w:val="24"/>
          <w:highlight w:val="none"/>
        </w:rPr>
        <w:t>姓    名：      性别：      年龄：       职务：</w:t>
      </w:r>
    </w:p>
    <w:p w14:paraId="6FF85D6E">
      <w:pPr>
        <w:shd w:val="clear" w:color="auto"/>
        <w:spacing w:line="360" w:lineRule="auto"/>
        <w:ind w:firstLine="610"/>
        <w:rPr>
          <w:rFonts w:ascii="宋体" w:hAnsi="宋体" w:cs="宋体"/>
          <w:color w:val="auto"/>
          <w:sz w:val="24"/>
          <w:highlight w:val="none"/>
        </w:rPr>
      </w:pPr>
    </w:p>
    <w:p w14:paraId="4EB7931F">
      <w:pPr>
        <w:shd w:val="clear" w:color="auto"/>
        <w:spacing w:line="360" w:lineRule="auto"/>
        <w:ind w:firstLine="610"/>
        <w:rPr>
          <w:rFonts w:ascii="宋体" w:hAnsi="宋体" w:cs="宋体"/>
          <w:color w:val="auto"/>
          <w:sz w:val="24"/>
          <w:highlight w:val="none"/>
        </w:rPr>
      </w:pPr>
      <w:r>
        <w:rPr>
          <w:rFonts w:hint="eastAsia" w:ascii="宋体" w:hAnsi="宋体" w:cs="宋体"/>
          <w:color w:val="auto"/>
          <w:sz w:val="24"/>
          <w:highlight w:val="none"/>
        </w:rPr>
        <w:t>系的法定代表人。</w:t>
      </w:r>
    </w:p>
    <w:p w14:paraId="67F98E39">
      <w:pPr>
        <w:shd w:val="clear" w:color="auto"/>
        <w:spacing w:line="360" w:lineRule="auto"/>
        <w:ind w:firstLine="610"/>
        <w:rPr>
          <w:rFonts w:ascii="宋体" w:hAnsi="宋体" w:cs="宋体"/>
          <w:color w:val="auto"/>
          <w:sz w:val="24"/>
          <w:highlight w:val="none"/>
        </w:rPr>
      </w:pPr>
    </w:p>
    <w:p w14:paraId="3DB7FBF3">
      <w:pPr>
        <w:shd w:val="clear" w:color="auto"/>
        <w:spacing w:line="360" w:lineRule="auto"/>
        <w:ind w:firstLine="610"/>
        <w:rPr>
          <w:rFonts w:ascii="宋体" w:hAnsi="宋体" w:cs="宋体"/>
          <w:color w:val="auto"/>
          <w:sz w:val="24"/>
          <w:highlight w:val="none"/>
        </w:rPr>
      </w:pPr>
      <w:r>
        <w:rPr>
          <w:rFonts w:hint="eastAsia" w:ascii="宋体" w:hAnsi="宋体" w:cs="宋体"/>
          <w:color w:val="auto"/>
          <w:sz w:val="24"/>
          <w:highlight w:val="none"/>
        </w:rPr>
        <w:t>特此证明。</w:t>
      </w:r>
    </w:p>
    <w:p w14:paraId="6F7DEE33">
      <w:pPr>
        <w:shd w:val="clear" w:color="auto"/>
        <w:tabs>
          <w:tab w:val="left" w:pos="720"/>
          <w:tab w:val="left" w:pos="900"/>
        </w:tabs>
        <w:spacing w:line="360" w:lineRule="auto"/>
        <w:ind w:firstLine="4560"/>
        <w:rPr>
          <w:rFonts w:ascii="宋体" w:hAnsi="宋体" w:cs="宋体"/>
          <w:color w:val="auto"/>
          <w:sz w:val="24"/>
          <w:highlight w:val="none"/>
        </w:rPr>
      </w:pPr>
    </w:p>
    <w:p w14:paraId="4A11BC20">
      <w:pPr>
        <w:shd w:val="clear" w:color="auto"/>
        <w:tabs>
          <w:tab w:val="left" w:pos="720"/>
          <w:tab w:val="left" w:pos="900"/>
        </w:tabs>
        <w:spacing w:line="360" w:lineRule="auto"/>
        <w:ind w:firstLine="4800"/>
        <w:rPr>
          <w:rFonts w:ascii="宋体" w:hAnsi="宋体" w:cs="宋体"/>
          <w:color w:val="auto"/>
          <w:sz w:val="24"/>
          <w:highlight w:val="none"/>
          <w:u w:val="single"/>
        </w:rPr>
      </w:pPr>
      <w:r>
        <w:rPr>
          <w:rFonts w:hint="eastAsia" w:ascii="宋体" w:hAnsi="宋体" w:cs="宋体"/>
          <w:color w:val="auto"/>
          <w:sz w:val="24"/>
          <w:highlight w:val="none"/>
        </w:rPr>
        <w:t>投标供应商：</w:t>
      </w:r>
      <w:r>
        <w:rPr>
          <w:rFonts w:hint="eastAsia" w:ascii="宋体" w:hAnsi="宋体" w:cs="宋体"/>
          <w:color w:val="auto"/>
          <w:sz w:val="24"/>
          <w:highlight w:val="none"/>
          <w:u w:val="single"/>
        </w:rPr>
        <w:t xml:space="preserve">             （盖公章）</w:t>
      </w:r>
    </w:p>
    <w:p w14:paraId="5E847B43">
      <w:pPr>
        <w:shd w:val="clear" w:color="auto"/>
        <w:tabs>
          <w:tab w:val="left" w:pos="720"/>
          <w:tab w:val="left" w:pos="900"/>
        </w:tabs>
        <w:spacing w:line="360" w:lineRule="auto"/>
        <w:ind w:firstLine="4800"/>
        <w:rPr>
          <w:rFonts w:ascii="宋体" w:hAnsi="宋体" w:cs="宋体"/>
          <w:color w:val="auto"/>
          <w:sz w:val="24"/>
          <w:highlight w:val="none"/>
        </w:rPr>
      </w:pPr>
      <w:r>
        <w:rPr>
          <w:rFonts w:hint="eastAsia" w:ascii="宋体" w:hAnsi="宋体" w:cs="宋体"/>
          <w:color w:val="auto"/>
          <w:sz w:val="24"/>
          <w:highlight w:val="none"/>
        </w:rPr>
        <w:t>日  期：  年  月  日</w:t>
      </w:r>
    </w:p>
    <w:tbl>
      <w:tblPr>
        <w:tblStyle w:val="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025"/>
        <w:gridCol w:w="555"/>
        <w:gridCol w:w="4860"/>
      </w:tblGrid>
      <w:tr w14:paraId="1DCC2C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20" w:hRule="atLeast"/>
          <w:jc w:val="center"/>
        </w:trPr>
        <w:tc>
          <w:tcPr>
            <w:tcW w:w="5025" w:type="dxa"/>
            <w:noWrap w:val="0"/>
          </w:tcPr>
          <w:p w14:paraId="3F118345">
            <w:pPr>
              <w:widowControl/>
              <w:shd w:val="clear" w:color="auto"/>
              <w:spacing w:before="4"/>
              <w:rPr>
                <w:rFonts w:ascii="宋体" w:hAnsi="宋体" w:cs="宋体"/>
                <w:color w:val="auto"/>
                <w:sz w:val="24"/>
                <w:highlight w:val="none"/>
              </w:rPr>
            </w:pPr>
          </w:p>
          <w:p w14:paraId="6B869726">
            <w:pPr>
              <w:widowControl/>
              <w:shd w:val="clear" w:color="auto"/>
              <w:spacing w:before="4"/>
              <w:rPr>
                <w:rFonts w:ascii="宋体" w:hAnsi="宋体" w:cs="宋体"/>
                <w:color w:val="auto"/>
                <w:sz w:val="24"/>
                <w:highlight w:val="none"/>
              </w:rPr>
            </w:pPr>
          </w:p>
          <w:p w14:paraId="72A2DEDE">
            <w:pPr>
              <w:widowControl/>
              <w:shd w:val="clear" w:color="auto"/>
              <w:spacing w:before="4"/>
              <w:jc w:val="center"/>
              <w:rPr>
                <w:rFonts w:ascii="宋体" w:hAnsi="宋体" w:cs="宋体"/>
                <w:color w:val="auto"/>
                <w:sz w:val="24"/>
                <w:highlight w:val="none"/>
              </w:rPr>
            </w:pPr>
            <w:r>
              <w:rPr>
                <w:rFonts w:hint="eastAsia" w:ascii="宋体" w:hAnsi="宋体" w:cs="宋体"/>
                <w:color w:val="auto"/>
                <w:sz w:val="24"/>
                <w:highlight w:val="none"/>
              </w:rPr>
              <w:t>法定代表人身份证复印件</w:t>
            </w:r>
          </w:p>
          <w:p w14:paraId="39A60F1A">
            <w:pPr>
              <w:widowControl/>
              <w:shd w:val="clear" w:color="auto"/>
              <w:spacing w:before="4"/>
              <w:jc w:val="center"/>
              <w:rPr>
                <w:rFonts w:ascii="宋体" w:hAnsi="宋体" w:cs="宋体"/>
                <w:color w:val="auto"/>
                <w:sz w:val="24"/>
                <w:highlight w:val="none"/>
              </w:rPr>
            </w:pPr>
          </w:p>
          <w:p w14:paraId="65F45D59">
            <w:pPr>
              <w:widowControl/>
              <w:shd w:val="clear" w:color="auto"/>
              <w:spacing w:before="4"/>
              <w:jc w:val="center"/>
              <w:rPr>
                <w:rFonts w:ascii="宋体" w:hAnsi="宋体" w:cs="宋体"/>
                <w:color w:val="auto"/>
                <w:sz w:val="24"/>
                <w:highlight w:val="none"/>
              </w:rPr>
            </w:pPr>
            <w:r>
              <w:rPr>
                <w:rFonts w:hint="eastAsia" w:ascii="宋体" w:hAnsi="宋体" w:cs="宋体"/>
                <w:color w:val="auto"/>
                <w:sz w:val="24"/>
                <w:highlight w:val="none"/>
              </w:rPr>
              <w:t>（正面）</w:t>
            </w:r>
          </w:p>
        </w:tc>
        <w:tc>
          <w:tcPr>
            <w:tcW w:w="555" w:type="dxa"/>
            <w:tcBorders>
              <w:top w:val="nil"/>
              <w:bottom w:val="nil"/>
            </w:tcBorders>
            <w:noWrap w:val="0"/>
          </w:tcPr>
          <w:p w14:paraId="30EC76F0">
            <w:pPr>
              <w:widowControl/>
              <w:shd w:val="clear" w:color="auto"/>
              <w:jc w:val="left"/>
              <w:rPr>
                <w:rFonts w:ascii="宋体" w:hAnsi="宋体" w:cs="宋体"/>
                <w:color w:val="auto"/>
                <w:sz w:val="24"/>
                <w:highlight w:val="none"/>
              </w:rPr>
            </w:pPr>
          </w:p>
        </w:tc>
        <w:tc>
          <w:tcPr>
            <w:tcW w:w="4860" w:type="dxa"/>
            <w:noWrap w:val="0"/>
          </w:tcPr>
          <w:p w14:paraId="7AB43871">
            <w:pPr>
              <w:widowControl/>
              <w:shd w:val="clear" w:color="auto"/>
              <w:spacing w:before="4"/>
              <w:rPr>
                <w:rFonts w:ascii="宋体" w:hAnsi="宋体" w:cs="宋体"/>
                <w:color w:val="auto"/>
                <w:sz w:val="24"/>
                <w:highlight w:val="none"/>
              </w:rPr>
            </w:pPr>
          </w:p>
          <w:p w14:paraId="68A26704">
            <w:pPr>
              <w:widowControl/>
              <w:shd w:val="clear" w:color="auto"/>
              <w:spacing w:before="4"/>
              <w:rPr>
                <w:rFonts w:ascii="宋体" w:hAnsi="宋体" w:cs="宋体"/>
                <w:color w:val="auto"/>
                <w:sz w:val="24"/>
                <w:highlight w:val="none"/>
              </w:rPr>
            </w:pPr>
          </w:p>
          <w:p w14:paraId="07357F78">
            <w:pPr>
              <w:widowControl/>
              <w:shd w:val="clear" w:color="auto"/>
              <w:spacing w:before="4"/>
              <w:jc w:val="center"/>
              <w:rPr>
                <w:rFonts w:ascii="宋体" w:hAnsi="宋体" w:cs="宋体"/>
                <w:color w:val="auto"/>
                <w:sz w:val="24"/>
                <w:highlight w:val="none"/>
              </w:rPr>
            </w:pPr>
            <w:r>
              <w:rPr>
                <w:rFonts w:hint="eastAsia" w:ascii="宋体" w:hAnsi="宋体" w:cs="宋体"/>
                <w:color w:val="auto"/>
                <w:sz w:val="24"/>
                <w:highlight w:val="none"/>
              </w:rPr>
              <w:t>法定代表人身份证复印件</w:t>
            </w:r>
          </w:p>
          <w:p w14:paraId="6DECAFB1">
            <w:pPr>
              <w:widowControl/>
              <w:shd w:val="clear" w:color="auto"/>
              <w:spacing w:before="4"/>
              <w:jc w:val="center"/>
              <w:rPr>
                <w:rFonts w:ascii="宋体" w:hAnsi="宋体" w:cs="宋体"/>
                <w:color w:val="auto"/>
                <w:sz w:val="24"/>
                <w:highlight w:val="none"/>
              </w:rPr>
            </w:pPr>
          </w:p>
          <w:p w14:paraId="1D0AB0EE">
            <w:pPr>
              <w:widowControl/>
              <w:shd w:val="clear" w:color="auto"/>
              <w:spacing w:before="4"/>
              <w:jc w:val="center"/>
              <w:rPr>
                <w:rFonts w:ascii="宋体" w:hAnsi="宋体" w:cs="宋体"/>
                <w:color w:val="auto"/>
                <w:sz w:val="24"/>
                <w:highlight w:val="none"/>
              </w:rPr>
            </w:pPr>
            <w:r>
              <w:rPr>
                <w:rFonts w:hint="eastAsia" w:ascii="宋体" w:hAnsi="宋体" w:cs="宋体"/>
                <w:color w:val="auto"/>
                <w:sz w:val="24"/>
                <w:highlight w:val="none"/>
              </w:rPr>
              <w:t>（反面）</w:t>
            </w:r>
          </w:p>
        </w:tc>
      </w:tr>
    </w:tbl>
    <w:p w14:paraId="2266139B">
      <w:pPr>
        <w:pStyle w:val="229"/>
        <w:shd w:val="clear" w:color="auto"/>
        <w:spacing w:before="0" w:after="0" w:line="360" w:lineRule="auto"/>
        <w:jc w:val="center"/>
        <w:rPr>
          <w:rFonts w:ascii="宋体" w:hAnsi="宋体" w:eastAsia="宋体" w:cs="宋体"/>
          <w:bCs w:val="0"/>
          <w:color w:val="auto"/>
          <w:highlight w:val="none"/>
        </w:rPr>
      </w:pPr>
      <w:r>
        <w:rPr>
          <w:rFonts w:hint="eastAsia" w:ascii="宋体" w:hAnsi="宋体" w:eastAsia="宋体" w:cs="宋体"/>
          <w:bCs w:val="0"/>
          <w:color w:val="auto"/>
          <w:highlight w:val="none"/>
        </w:rPr>
        <w:t xml:space="preserve"> </w:t>
      </w:r>
    </w:p>
    <w:p w14:paraId="7E5E555C">
      <w:pPr>
        <w:pStyle w:val="230"/>
        <w:shd w:val="clear" w:color="auto"/>
        <w:ind w:firstLine="0"/>
        <w:rPr>
          <w:rFonts w:ascii="宋体" w:hAnsi="宋体" w:cs="宋体"/>
          <w:color w:val="auto"/>
          <w:highlight w:val="none"/>
        </w:rPr>
      </w:pPr>
      <w:r>
        <w:rPr>
          <w:rFonts w:hint="eastAsia" w:ascii="宋体" w:hAnsi="宋体" w:cs="宋体"/>
          <w:color w:val="auto"/>
          <w:highlight w:val="none"/>
        </w:rPr>
        <w:br w:type="page" w:clear="all"/>
      </w:r>
      <w:r>
        <w:rPr>
          <w:rFonts w:hint="eastAsia" w:ascii="宋体" w:hAnsi="宋体" w:cs="宋体"/>
          <w:bCs/>
          <w:color w:val="auto"/>
          <w:sz w:val="24"/>
          <w:szCs w:val="22"/>
          <w:highlight w:val="none"/>
        </w:rPr>
        <w:t>（五）关于资格的声明函（格式）</w:t>
      </w:r>
    </w:p>
    <w:p w14:paraId="360D3BBF">
      <w:pPr>
        <w:pStyle w:val="229"/>
        <w:shd w:val="clear" w:color="auto"/>
        <w:spacing w:before="0" w:after="0" w:line="360" w:lineRule="auto"/>
        <w:jc w:val="center"/>
        <w:rPr>
          <w:rFonts w:ascii="宋体" w:hAnsi="宋体" w:eastAsia="宋体" w:cs="宋体"/>
          <w:bCs w:val="0"/>
          <w:color w:val="auto"/>
          <w:highlight w:val="none"/>
        </w:rPr>
      </w:pPr>
    </w:p>
    <w:p w14:paraId="21FD3ACE">
      <w:pPr>
        <w:shd w:val="clear" w:color="auto"/>
        <w:jc w:val="center"/>
        <w:outlineLvl w:val="0"/>
        <w:rPr>
          <w:rFonts w:ascii="宋体" w:hAnsi="宋体" w:cs="宋体"/>
          <w:b/>
          <w:bCs/>
          <w:color w:val="auto"/>
          <w:sz w:val="30"/>
          <w:szCs w:val="30"/>
          <w:highlight w:val="none"/>
        </w:rPr>
      </w:pPr>
      <w:r>
        <w:rPr>
          <w:rFonts w:hint="eastAsia" w:ascii="宋体" w:hAnsi="宋体" w:cs="宋体"/>
          <w:b/>
          <w:bCs/>
          <w:color w:val="auto"/>
          <w:sz w:val="30"/>
          <w:szCs w:val="30"/>
          <w:highlight w:val="none"/>
        </w:rPr>
        <w:t>关于资格的声明函</w:t>
      </w:r>
    </w:p>
    <w:p w14:paraId="1BBB7922">
      <w:pPr>
        <w:shd w:val="clear" w:color="auto"/>
        <w:spacing w:line="360" w:lineRule="auto"/>
        <w:jc w:val="center"/>
        <w:rPr>
          <w:rFonts w:ascii="宋体" w:hAnsi="宋体" w:cs="宋体"/>
          <w:color w:val="auto"/>
          <w:sz w:val="24"/>
          <w:highlight w:val="none"/>
        </w:rPr>
      </w:pPr>
    </w:p>
    <w:p w14:paraId="1DC8A331">
      <w:pPr>
        <w:shd w:val="clear" w:color="auto"/>
        <w:spacing w:line="360" w:lineRule="auto"/>
        <w:jc w:val="center"/>
        <w:rPr>
          <w:rFonts w:ascii="宋体" w:hAnsi="宋体" w:cs="宋体"/>
          <w:color w:val="auto"/>
          <w:sz w:val="24"/>
          <w:highlight w:val="none"/>
        </w:rPr>
      </w:pPr>
      <w:r>
        <w:rPr>
          <w:rFonts w:hint="eastAsia" w:ascii="宋体" w:hAnsi="宋体" w:cs="宋体"/>
          <w:color w:val="auto"/>
          <w:sz w:val="24"/>
          <w:highlight w:val="none"/>
        </w:rPr>
        <w:t>采购编号：</w:t>
      </w:r>
    </w:p>
    <w:p w14:paraId="0CAC5E00">
      <w:pPr>
        <w:shd w:val="clear" w:color="auto"/>
        <w:spacing w:line="360" w:lineRule="auto"/>
        <w:jc w:val="center"/>
        <w:rPr>
          <w:rFonts w:ascii="宋体" w:hAnsi="宋体" w:cs="宋体"/>
          <w:color w:val="auto"/>
          <w:sz w:val="24"/>
          <w:highlight w:val="none"/>
        </w:rPr>
      </w:pPr>
      <w:r>
        <w:rPr>
          <w:rFonts w:hint="eastAsia" w:ascii="宋体" w:hAnsi="宋体" w:cs="宋体"/>
          <w:color w:val="auto"/>
          <w:sz w:val="24"/>
          <w:highlight w:val="none"/>
        </w:rPr>
        <w:t xml:space="preserve">    日期：</w:t>
      </w:r>
    </w:p>
    <w:p w14:paraId="0FB2EC69">
      <w:pPr>
        <w:shd w:val="clear" w:color="auto"/>
        <w:spacing w:line="360" w:lineRule="auto"/>
        <w:jc w:val="center"/>
        <w:rPr>
          <w:rFonts w:ascii="宋体" w:hAnsi="宋体" w:cs="宋体"/>
          <w:color w:val="auto"/>
          <w:sz w:val="24"/>
          <w:highlight w:val="none"/>
        </w:rPr>
      </w:pPr>
    </w:p>
    <w:p w14:paraId="16FD40DD">
      <w:pPr>
        <w:shd w:val="clear" w:color="auto"/>
        <w:jc w:val="center"/>
        <w:rPr>
          <w:rFonts w:ascii="宋体" w:hAnsi="宋体" w:cs="宋体"/>
          <w:color w:val="auto"/>
          <w:highlight w:val="none"/>
        </w:rPr>
      </w:pPr>
    </w:p>
    <w:p w14:paraId="2C990CFA">
      <w:pPr>
        <w:shd w:val="clear" w:color="auto"/>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lang w:eastAsia="zh-CN"/>
        </w:rPr>
        <w:t>北京中昌工程咨询有限公司</w:t>
      </w:r>
      <w:r>
        <w:rPr>
          <w:rFonts w:hint="eastAsia" w:ascii="宋体" w:hAnsi="宋体" w:cs="宋体"/>
          <w:color w:val="auto"/>
          <w:sz w:val="24"/>
          <w:highlight w:val="none"/>
          <w:u w:val="single"/>
        </w:rPr>
        <w:t>：</w:t>
      </w:r>
    </w:p>
    <w:p w14:paraId="354841AD">
      <w:pPr>
        <w:pStyle w:val="231"/>
        <w:shd w:val="clear" w:color="auto"/>
        <w:spacing w:line="360" w:lineRule="auto"/>
        <w:ind w:left="0" w:right="34" w:firstLine="403"/>
        <w:rPr>
          <w:rFonts w:ascii="宋体" w:hAnsi="宋体" w:cs="宋体"/>
          <w:color w:val="auto"/>
          <w:szCs w:val="24"/>
          <w:highlight w:val="none"/>
        </w:rPr>
      </w:pPr>
      <w:r>
        <w:rPr>
          <w:rFonts w:hint="eastAsia" w:ascii="宋体" w:hAnsi="宋体" w:cs="宋体"/>
          <w:color w:val="auto"/>
          <w:szCs w:val="24"/>
          <w:highlight w:val="none"/>
        </w:rPr>
        <w:t>我公司（单位）在参加本次政府采购活动前三年内，在经营活动中没有重大违法记录。</w:t>
      </w:r>
    </w:p>
    <w:p w14:paraId="02BEEA4F">
      <w:pPr>
        <w:pStyle w:val="231"/>
        <w:shd w:val="clear" w:color="auto"/>
        <w:spacing w:line="360" w:lineRule="auto"/>
        <w:ind w:left="0" w:right="34" w:firstLine="403"/>
        <w:rPr>
          <w:rFonts w:ascii="宋体" w:hAnsi="宋体" w:cs="宋体"/>
          <w:color w:val="auto"/>
          <w:szCs w:val="24"/>
          <w:highlight w:val="none"/>
        </w:rPr>
      </w:pPr>
      <w:r>
        <w:rPr>
          <w:rFonts w:hint="eastAsia" w:ascii="宋体" w:hAnsi="宋体" w:cs="宋体"/>
          <w:color w:val="auto"/>
          <w:szCs w:val="24"/>
          <w:highlight w:val="none"/>
        </w:rPr>
        <w:t>我公司愿针对本项目（采购编号：                    ）进行</w:t>
      </w:r>
      <w:r>
        <w:rPr>
          <w:rFonts w:hint="eastAsia" w:ascii="宋体" w:hAnsi="宋体" w:cs="宋体"/>
          <w:color w:val="auto"/>
          <w:highlight w:val="none"/>
        </w:rPr>
        <w:t>投标</w:t>
      </w:r>
      <w:r>
        <w:rPr>
          <w:rFonts w:hint="eastAsia" w:ascii="宋体" w:hAnsi="宋体" w:cs="宋体"/>
          <w:color w:val="auto"/>
          <w:szCs w:val="24"/>
          <w:highlight w:val="none"/>
        </w:rPr>
        <w:t>，</w:t>
      </w:r>
      <w:r>
        <w:rPr>
          <w:rFonts w:hint="eastAsia" w:ascii="宋体" w:hAnsi="宋体" w:cs="宋体"/>
          <w:color w:val="auto"/>
          <w:highlight w:val="none"/>
        </w:rPr>
        <w:t>投标</w:t>
      </w:r>
      <w:r>
        <w:rPr>
          <w:rFonts w:hint="eastAsia" w:ascii="宋体" w:hAnsi="宋体" w:cs="宋体"/>
          <w:color w:val="auto"/>
          <w:szCs w:val="24"/>
          <w:highlight w:val="none"/>
        </w:rPr>
        <w:t>文件中所有关于</w:t>
      </w:r>
      <w:r>
        <w:rPr>
          <w:rFonts w:hint="eastAsia" w:ascii="宋体" w:hAnsi="宋体" w:cs="宋体"/>
          <w:color w:val="auto"/>
          <w:highlight w:val="none"/>
        </w:rPr>
        <w:t>投标</w:t>
      </w:r>
      <w:r>
        <w:rPr>
          <w:rFonts w:hint="eastAsia" w:ascii="宋体" w:hAnsi="宋体" w:cs="宋体"/>
          <w:color w:val="auto"/>
          <w:szCs w:val="24"/>
          <w:highlight w:val="none"/>
        </w:rPr>
        <w:t>资格的文件、证明、陈述均是真实的、准确的。若有违背，我公司（单位）        愿意承担由此而产生的一切后果。</w:t>
      </w:r>
    </w:p>
    <w:p w14:paraId="79AE21BC">
      <w:pPr>
        <w:pStyle w:val="231"/>
        <w:shd w:val="clear" w:color="auto"/>
        <w:ind w:left="0" w:right="34" w:firstLine="403"/>
        <w:rPr>
          <w:rFonts w:ascii="宋体" w:hAnsi="宋体" w:cs="宋体"/>
          <w:color w:val="auto"/>
          <w:szCs w:val="24"/>
          <w:highlight w:val="none"/>
        </w:rPr>
      </w:pPr>
    </w:p>
    <w:p w14:paraId="180A9384">
      <w:pPr>
        <w:pStyle w:val="231"/>
        <w:shd w:val="clear" w:color="auto"/>
        <w:ind w:left="0" w:right="34" w:firstLine="403"/>
        <w:rPr>
          <w:rFonts w:ascii="宋体" w:hAnsi="宋体" w:cs="宋体"/>
          <w:color w:val="auto"/>
          <w:sz w:val="21"/>
          <w:highlight w:val="none"/>
        </w:rPr>
      </w:pPr>
    </w:p>
    <w:p w14:paraId="086DFD36">
      <w:pPr>
        <w:pStyle w:val="231"/>
        <w:shd w:val="clear" w:color="auto"/>
        <w:ind w:left="0" w:right="34" w:firstLine="403"/>
        <w:rPr>
          <w:rFonts w:ascii="宋体" w:hAnsi="宋体" w:cs="宋体"/>
          <w:color w:val="auto"/>
          <w:sz w:val="21"/>
          <w:highlight w:val="none"/>
        </w:rPr>
      </w:pPr>
    </w:p>
    <w:p w14:paraId="60D5409F">
      <w:pPr>
        <w:shd w:val="clear" w:color="auto"/>
        <w:spacing w:line="360" w:lineRule="auto"/>
        <w:outlineLvl w:val="0"/>
        <w:rPr>
          <w:rFonts w:ascii="宋体" w:hAnsi="宋体" w:cs="宋体"/>
          <w:b/>
          <w:bCs/>
          <w:color w:val="auto"/>
          <w:sz w:val="24"/>
          <w:highlight w:val="none"/>
        </w:rPr>
      </w:pPr>
    </w:p>
    <w:p w14:paraId="33BC1C0B">
      <w:pPr>
        <w:shd w:val="clear" w:color="auto"/>
        <w:spacing w:line="360" w:lineRule="auto"/>
        <w:jc w:val="left"/>
        <w:outlineLvl w:val="0"/>
        <w:rPr>
          <w:rFonts w:ascii="宋体" w:hAnsi="宋体" w:cs="宋体"/>
          <w:bCs/>
          <w:color w:val="auto"/>
          <w:sz w:val="24"/>
          <w:highlight w:val="none"/>
        </w:rPr>
      </w:pPr>
      <w:r>
        <w:rPr>
          <w:rFonts w:hint="eastAsia" w:ascii="宋体" w:hAnsi="宋体" w:cs="宋体"/>
          <w:b/>
          <w:bCs/>
          <w:color w:val="auto"/>
          <w:sz w:val="24"/>
          <w:highlight w:val="none"/>
        </w:rPr>
        <w:t xml:space="preserve">                                </w:t>
      </w:r>
      <w:r>
        <w:rPr>
          <w:rFonts w:hint="eastAsia" w:ascii="宋体" w:hAnsi="宋体" w:cs="宋体"/>
          <w:bCs/>
          <w:color w:val="auto"/>
          <w:sz w:val="24"/>
          <w:highlight w:val="none"/>
        </w:rPr>
        <w:t xml:space="preserve">   </w:t>
      </w:r>
      <w:r>
        <w:rPr>
          <w:rFonts w:hint="eastAsia" w:ascii="宋体" w:hAnsi="宋体" w:cs="宋体"/>
          <w:color w:val="auto"/>
          <w:sz w:val="24"/>
          <w:highlight w:val="none"/>
        </w:rPr>
        <w:t>投标</w:t>
      </w:r>
      <w:r>
        <w:rPr>
          <w:rFonts w:hint="eastAsia" w:ascii="宋体" w:hAnsi="宋体" w:cs="宋体"/>
          <w:bCs/>
          <w:color w:val="auto"/>
          <w:sz w:val="24"/>
          <w:highlight w:val="none"/>
        </w:rPr>
        <w:t>供应商（盖章）：</w:t>
      </w:r>
    </w:p>
    <w:p w14:paraId="20133603">
      <w:pPr>
        <w:shd w:val="clear" w:color="auto"/>
        <w:spacing w:line="360" w:lineRule="auto"/>
        <w:outlineLvl w:val="0"/>
        <w:rPr>
          <w:rFonts w:ascii="宋体" w:hAnsi="宋体" w:cs="宋体"/>
          <w:bCs/>
          <w:color w:val="auto"/>
          <w:sz w:val="24"/>
          <w:highlight w:val="none"/>
        </w:rPr>
      </w:pPr>
      <w:r>
        <w:rPr>
          <w:rFonts w:hint="eastAsia" w:ascii="宋体" w:hAnsi="宋体" w:cs="宋体"/>
          <w:bCs/>
          <w:color w:val="auto"/>
          <w:sz w:val="24"/>
          <w:highlight w:val="none"/>
        </w:rPr>
        <w:t>　　　　　　　　　　　法定代表人或法定代表人授权代表签字或盖章：</w:t>
      </w:r>
    </w:p>
    <w:p w14:paraId="4EFB7975">
      <w:pPr>
        <w:shd w:val="clear" w:color="auto"/>
        <w:spacing w:line="360" w:lineRule="auto"/>
        <w:outlineLvl w:val="0"/>
        <w:rPr>
          <w:rFonts w:ascii="宋体" w:hAnsi="宋体" w:cs="宋体"/>
          <w:bCs/>
          <w:color w:val="auto"/>
          <w:sz w:val="24"/>
          <w:highlight w:val="none"/>
        </w:rPr>
      </w:pPr>
      <w:r>
        <w:rPr>
          <w:rFonts w:hint="eastAsia" w:ascii="宋体" w:hAnsi="宋体" w:cs="宋体"/>
          <w:bCs/>
          <w:color w:val="auto"/>
          <w:sz w:val="24"/>
          <w:highlight w:val="none"/>
        </w:rPr>
        <w:t xml:space="preserve">                                   年     月     日</w:t>
      </w:r>
    </w:p>
    <w:p w14:paraId="74F59BBB">
      <w:pPr>
        <w:pStyle w:val="231"/>
        <w:shd w:val="clear" w:color="auto"/>
        <w:spacing w:line="360" w:lineRule="auto"/>
        <w:ind w:left="0" w:right="34" w:firstLine="403"/>
        <w:rPr>
          <w:rFonts w:ascii="宋体" w:hAnsi="宋体" w:cs="宋体"/>
          <w:color w:val="auto"/>
          <w:sz w:val="21"/>
          <w:highlight w:val="none"/>
        </w:rPr>
      </w:pPr>
    </w:p>
    <w:p w14:paraId="129D41C7">
      <w:pPr>
        <w:pStyle w:val="231"/>
        <w:shd w:val="clear" w:color="auto"/>
        <w:spacing w:line="360" w:lineRule="auto"/>
        <w:ind w:left="0" w:right="34" w:firstLine="403"/>
        <w:rPr>
          <w:rFonts w:ascii="宋体" w:hAnsi="宋体" w:cs="宋体"/>
          <w:color w:val="auto"/>
          <w:sz w:val="21"/>
          <w:highlight w:val="none"/>
        </w:rPr>
      </w:pPr>
    </w:p>
    <w:p w14:paraId="2D3743E9">
      <w:pPr>
        <w:pStyle w:val="231"/>
        <w:shd w:val="clear" w:color="auto"/>
        <w:spacing w:line="360" w:lineRule="auto"/>
        <w:ind w:left="0" w:right="34" w:firstLine="403"/>
        <w:rPr>
          <w:rFonts w:ascii="宋体" w:hAnsi="宋体" w:cs="宋体"/>
          <w:color w:val="auto"/>
          <w:sz w:val="21"/>
          <w:highlight w:val="none"/>
        </w:rPr>
      </w:pPr>
    </w:p>
    <w:p w14:paraId="626DE7E3">
      <w:pPr>
        <w:pStyle w:val="231"/>
        <w:shd w:val="clear" w:color="auto"/>
        <w:spacing w:line="360" w:lineRule="auto"/>
        <w:ind w:left="0" w:right="34" w:firstLine="403"/>
        <w:rPr>
          <w:rFonts w:ascii="宋体" w:hAnsi="宋体" w:cs="宋体"/>
          <w:color w:val="auto"/>
          <w:sz w:val="21"/>
          <w:highlight w:val="none"/>
        </w:rPr>
      </w:pPr>
    </w:p>
    <w:p w14:paraId="32017014">
      <w:pPr>
        <w:pStyle w:val="231"/>
        <w:shd w:val="clear" w:color="auto"/>
        <w:spacing w:line="360" w:lineRule="auto"/>
        <w:ind w:left="0" w:right="34" w:firstLine="403"/>
        <w:rPr>
          <w:rFonts w:ascii="宋体" w:hAnsi="宋体" w:cs="宋体"/>
          <w:color w:val="auto"/>
          <w:sz w:val="21"/>
          <w:highlight w:val="none"/>
        </w:rPr>
      </w:pPr>
    </w:p>
    <w:p w14:paraId="000E80A8">
      <w:pPr>
        <w:pStyle w:val="231"/>
        <w:shd w:val="clear" w:color="auto"/>
        <w:spacing w:line="360" w:lineRule="auto"/>
        <w:ind w:left="0" w:right="34" w:firstLine="403"/>
        <w:rPr>
          <w:rFonts w:ascii="宋体" w:hAnsi="宋体" w:cs="宋体"/>
          <w:color w:val="auto"/>
          <w:sz w:val="21"/>
          <w:highlight w:val="none"/>
        </w:rPr>
      </w:pPr>
    </w:p>
    <w:p w14:paraId="0BD60014">
      <w:pPr>
        <w:pStyle w:val="231"/>
        <w:shd w:val="clear" w:color="auto"/>
        <w:spacing w:line="360" w:lineRule="auto"/>
        <w:ind w:left="0" w:right="34" w:firstLine="403"/>
        <w:rPr>
          <w:rFonts w:ascii="宋体" w:hAnsi="宋体" w:cs="宋体"/>
          <w:color w:val="auto"/>
          <w:sz w:val="21"/>
          <w:highlight w:val="none"/>
        </w:rPr>
      </w:pPr>
    </w:p>
    <w:p w14:paraId="0A10CDC9">
      <w:pPr>
        <w:pStyle w:val="231"/>
        <w:shd w:val="clear" w:color="auto"/>
        <w:spacing w:line="360" w:lineRule="auto"/>
        <w:ind w:left="0" w:right="34" w:firstLine="403"/>
        <w:rPr>
          <w:rFonts w:ascii="宋体" w:hAnsi="宋体" w:cs="宋体"/>
          <w:color w:val="auto"/>
          <w:sz w:val="21"/>
          <w:highlight w:val="none"/>
        </w:rPr>
      </w:pPr>
    </w:p>
    <w:p w14:paraId="5F9F747F">
      <w:pPr>
        <w:pStyle w:val="231"/>
        <w:shd w:val="clear" w:color="auto"/>
        <w:spacing w:line="360" w:lineRule="auto"/>
        <w:ind w:left="0" w:right="34" w:firstLine="403"/>
        <w:rPr>
          <w:rFonts w:ascii="宋体" w:hAnsi="宋体" w:cs="宋体"/>
          <w:color w:val="auto"/>
          <w:sz w:val="21"/>
          <w:highlight w:val="none"/>
        </w:rPr>
      </w:pPr>
    </w:p>
    <w:p w14:paraId="6E918B3B">
      <w:pPr>
        <w:pStyle w:val="231"/>
        <w:shd w:val="clear" w:color="auto"/>
        <w:spacing w:line="360" w:lineRule="auto"/>
        <w:ind w:left="0" w:right="34" w:firstLine="403"/>
        <w:rPr>
          <w:rFonts w:ascii="宋体" w:hAnsi="宋体" w:cs="宋体"/>
          <w:color w:val="auto"/>
          <w:sz w:val="21"/>
          <w:highlight w:val="none"/>
        </w:rPr>
      </w:pPr>
    </w:p>
    <w:p w14:paraId="7666EECE">
      <w:pPr>
        <w:pStyle w:val="231"/>
        <w:shd w:val="clear" w:color="auto"/>
        <w:spacing w:line="360" w:lineRule="auto"/>
        <w:ind w:left="0" w:right="34" w:firstLine="403"/>
        <w:rPr>
          <w:rFonts w:ascii="宋体" w:hAnsi="宋体" w:cs="宋体"/>
          <w:color w:val="auto"/>
          <w:sz w:val="21"/>
          <w:highlight w:val="none"/>
        </w:rPr>
      </w:pPr>
    </w:p>
    <w:p w14:paraId="0B3F2EDC">
      <w:pPr>
        <w:pStyle w:val="231"/>
        <w:shd w:val="clear" w:color="auto"/>
        <w:spacing w:line="360" w:lineRule="auto"/>
        <w:ind w:left="0" w:right="34" w:firstLine="403"/>
        <w:rPr>
          <w:rFonts w:ascii="宋体" w:hAnsi="宋体" w:cs="宋体"/>
          <w:color w:val="auto"/>
          <w:sz w:val="21"/>
          <w:highlight w:val="none"/>
        </w:rPr>
      </w:pPr>
    </w:p>
    <w:p w14:paraId="0DAF19FE">
      <w:pPr>
        <w:pStyle w:val="230"/>
        <w:shd w:val="clear" w:color="auto"/>
        <w:ind w:firstLine="0"/>
        <w:rPr>
          <w:rFonts w:ascii="宋体" w:hAnsi="宋体" w:cs="宋体"/>
          <w:bCs/>
          <w:color w:val="auto"/>
          <w:sz w:val="24"/>
          <w:szCs w:val="22"/>
          <w:highlight w:val="none"/>
        </w:rPr>
      </w:pPr>
      <w:bookmarkStart w:id="4" w:name="_Toc231463955"/>
      <w:r>
        <w:rPr>
          <w:rFonts w:hint="eastAsia" w:ascii="宋体" w:hAnsi="宋体" w:cs="宋体"/>
          <w:bCs/>
          <w:color w:val="auto"/>
          <w:sz w:val="24"/>
          <w:szCs w:val="22"/>
          <w:highlight w:val="none"/>
        </w:rPr>
        <w:t>（六）细目报价表（格式）</w:t>
      </w:r>
    </w:p>
    <w:p w14:paraId="783BF925">
      <w:pPr>
        <w:shd w:val="clear" w:color="auto"/>
        <w:jc w:val="center"/>
        <w:outlineLvl w:val="0"/>
        <w:rPr>
          <w:rFonts w:hAnsi="宋体"/>
          <w:bCs/>
          <w:color w:val="auto"/>
          <w:sz w:val="24"/>
          <w:highlight w:val="none"/>
        </w:rPr>
      </w:pPr>
      <w:r>
        <w:rPr>
          <w:rFonts w:hint="eastAsia" w:hAnsi="宋体"/>
          <w:bCs/>
          <w:color w:val="auto"/>
          <w:sz w:val="24"/>
          <w:highlight w:val="none"/>
        </w:rPr>
        <w:t>明细报价表</w:t>
      </w:r>
    </w:p>
    <w:p w14:paraId="5BC64AB9">
      <w:pPr>
        <w:shd w:val="clear" w:color="auto"/>
        <w:spacing w:line="400" w:lineRule="exact"/>
        <w:rPr>
          <w:rFonts w:ascii="宋体" w:hAnsi="宋体" w:cs="宋体"/>
          <w:bCs/>
          <w:color w:val="auto"/>
          <w:sz w:val="24"/>
          <w:highlight w:val="none"/>
        </w:rPr>
      </w:pPr>
      <w:r>
        <w:rPr>
          <w:rFonts w:hint="eastAsia" w:ascii="宋体" w:hAnsi="宋体" w:cs="宋体"/>
          <w:bCs/>
          <w:color w:val="auto"/>
          <w:sz w:val="24"/>
          <w:highlight w:val="none"/>
          <w:lang w:eastAsia="zh-CN"/>
        </w:rPr>
        <w:t>供应商</w:t>
      </w:r>
      <w:r>
        <w:rPr>
          <w:rFonts w:hint="eastAsia" w:ascii="宋体" w:hAnsi="宋体" w:cs="宋体"/>
          <w:bCs/>
          <w:color w:val="auto"/>
          <w:sz w:val="24"/>
          <w:highlight w:val="none"/>
        </w:rPr>
        <w:t xml:space="preserve">名称（盖章）                                  采购项目编号： </w:t>
      </w:r>
    </w:p>
    <w:tbl>
      <w:tblPr>
        <w:tblStyle w:val="3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7"/>
        <w:gridCol w:w="2401"/>
        <w:gridCol w:w="1155"/>
        <w:gridCol w:w="80"/>
        <w:gridCol w:w="1231"/>
        <w:gridCol w:w="1348"/>
        <w:gridCol w:w="1348"/>
        <w:gridCol w:w="1152"/>
      </w:tblGrid>
      <w:tr w14:paraId="06890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79" w:type="pct"/>
            <w:noWrap/>
            <w:vAlign w:val="center"/>
          </w:tcPr>
          <w:p w14:paraId="178909CB">
            <w:pPr>
              <w:shd w:val="clear" w:color="auto"/>
              <w:jc w:val="center"/>
              <w:rPr>
                <w:rFonts w:ascii="宋体" w:hAnsi="宋体" w:cs="宋体"/>
                <w:bCs/>
                <w:color w:val="auto"/>
                <w:sz w:val="22"/>
                <w:szCs w:val="13"/>
                <w:highlight w:val="none"/>
              </w:rPr>
            </w:pPr>
            <w:r>
              <w:rPr>
                <w:rFonts w:hint="eastAsia" w:ascii="宋体" w:hAnsi="宋体" w:cs="宋体"/>
                <w:bCs/>
                <w:color w:val="auto"/>
                <w:sz w:val="22"/>
                <w:szCs w:val="13"/>
                <w:highlight w:val="none"/>
              </w:rPr>
              <w:t>序号</w:t>
            </w:r>
          </w:p>
        </w:tc>
        <w:tc>
          <w:tcPr>
            <w:tcW w:w="1345" w:type="pct"/>
            <w:noWrap/>
            <w:vAlign w:val="center"/>
          </w:tcPr>
          <w:p w14:paraId="691472AD">
            <w:pPr>
              <w:shd w:val="clear" w:color="auto"/>
              <w:jc w:val="center"/>
              <w:rPr>
                <w:rFonts w:ascii="宋体" w:hAnsi="宋体" w:cs="宋体"/>
                <w:bCs/>
                <w:color w:val="auto"/>
                <w:sz w:val="22"/>
                <w:szCs w:val="13"/>
                <w:highlight w:val="none"/>
              </w:rPr>
            </w:pPr>
            <w:r>
              <w:rPr>
                <w:rFonts w:hint="eastAsia" w:ascii="宋体" w:hAnsi="宋体" w:cs="宋体"/>
                <w:bCs/>
                <w:color w:val="auto"/>
                <w:sz w:val="22"/>
                <w:szCs w:val="13"/>
                <w:highlight w:val="none"/>
              </w:rPr>
              <w:t>项目名称</w:t>
            </w:r>
          </w:p>
        </w:tc>
        <w:tc>
          <w:tcPr>
            <w:tcW w:w="679" w:type="pct"/>
            <w:gridSpan w:val="2"/>
            <w:noWrap/>
            <w:vAlign w:val="center"/>
          </w:tcPr>
          <w:p w14:paraId="4E0F377C">
            <w:pPr>
              <w:shd w:val="clear" w:color="auto"/>
              <w:jc w:val="center"/>
              <w:rPr>
                <w:rFonts w:ascii="宋体" w:hAnsi="宋体" w:cs="宋体"/>
                <w:bCs/>
                <w:color w:val="auto"/>
                <w:sz w:val="22"/>
                <w:szCs w:val="13"/>
                <w:highlight w:val="none"/>
              </w:rPr>
            </w:pPr>
            <w:r>
              <w:rPr>
                <w:rFonts w:hint="eastAsia" w:ascii="宋体" w:hAnsi="宋体" w:cs="宋体"/>
                <w:bCs/>
                <w:color w:val="auto"/>
                <w:sz w:val="22"/>
                <w:szCs w:val="13"/>
                <w:highlight w:val="none"/>
              </w:rPr>
              <w:t>报价（元/月）</w:t>
            </w:r>
          </w:p>
        </w:tc>
        <w:tc>
          <w:tcPr>
            <w:tcW w:w="679" w:type="pct"/>
            <w:noWrap/>
            <w:vAlign w:val="center"/>
          </w:tcPr>
          <w:p w14:paraId="20A30ED5">
            <w:pPr>
              <w:shd w:val="clear" w:color="auto"/>
              <w:jc w:val="center"/>
              <w:rPr>
                <w:rFonts w:ascii="宋体" w:hAnsi="宋体" w:cs="宋体"/>
                <w:bCs/>
                <w:color w:val="auto"/>
                <w:sz w:val="22"/>
                <w:szCs w:val="13"/>
                <w:highlight w:val="none"/>
              </w:rPr>
            </w:pPr>
            <w:r>
              <w:rPr>
                <w:rFonts w:hint="eastAsia" w:ascii="宋体" w:hAnsi="宋体" w:cs="宋体"/>
                <w:bCs/>
                <w:color w:val="auto"/>
                <w:sz w:val="22"/>
                <w:szCs w:val="13"/>
                <w:highlight w:val="none"/>
              </w:rPr>
              <w:t>报价（元/年）</w:t>
            </w:r>
          </w:p>
        </w:tc>
        <w:tc>
          <w:tcPr>
            <w:tcW w:w="746" w:type="pct"/>
            <w:noWrap/>
            <w:vAlign w:val="center"/>
          </w:tcPr>
          <w:p w14:paraId="41DB4562">
            <w:pPr>
              <w:shd w:val="clear" w:color="auto"/>
              <w:jc w:val="center"/>
              <w:rPr>
                <w:rFonts w:ascii="宋体" w:hAnsi="宋体" w:cs="宋体"/>
                <w:bCs/>
                <w:color w:val="auto"/>
                <w:sz w:val="22"/>
                <w:szCs w:val="13"/>
                <w:highlight w:val="none"/>
              </w:rPr>
            </w:pPr>
            <w:r>
              <w:rPr>
                <w:rFonts w:hint="eastAsia" w:ascii="宋体" w:hAnsi="宋体" w:cs="宋体"/>
                <w:bCs/>
                <w:color w:val="auto"/>
                <w:sz w:val="22"/>
                <w:szCs w:val="13"/>
                <w:highlight w:val="none"/>
              </w:rPr>
              <w:t>报价（元/2年）</w:t>
            </w:r>
          </w:p>
        </w:tc>
        <w:tc>
          <w:tcPr>
            <w:tcW w:w="635" w:type="pct"/>
            <w:noWrap/>
            <w:vAlign w:val="center"/>
          </w:tcPr>
          <w:p w14:paraId="40E4D6A0">
            <w:pPr>
              <w:shd w:val="clear" w:color="auto"/>
              <w:jc w:val="center"/>
              <w:rPr>
                <w:rFonts w:hint="eastAsia" w:ascii="宋体" w:hAnsi="宋体" w:cs="宋体"/>
                <w:bCs/>
                <w:color w:val="auto"/>
                <w:sz w:val="22"/>
                <w:szCs w:val="13"/>
                <w:highlight w:val="none"/>
              </w:rPr>
            </w:pPr>
            <w:r>
              <w:rPr>
                <w:rFonts w:hint="eastAsia" w:ascii="宋体" w:hAnsi="宋体" w:cs="宋体"/>
                <w:bCs/>
                <w:color w:val="auto"/>
                <w:sz w:val="22"/>
                <w:szCs w:val="13"/>
                <w:highlight w:val="none"/>
              </w:rPr>
              <w:t>报价（元/</w:t>
            </w:r>
            <w:r>
              <w:rPr>
                <w:rFonts w:hint="eastAsia" w:ascii="宋体" w:hAnsi="宋体" w:cs="宋体"/>
                <w:bCs/>
                <w:color w:val="auto"/>
                <w:sz w:val="22"/>
                <w:szCs w:val="13"/>
                <w:highlight w:val="none"/>
                <w:lang w:val="en-US" w:eastAsia="zh-CN"/>
              </w:rPr>
              <w:t>3</w:t>
            </w:r>
            <w:r>
              <w:rPr>
                <w:rFonts w:hint="eastAsia" w:ascii="宋体" w:hAnsi="宋体" w:cs="宋体"/>
                <w:bCs/>
                <w:color w:val="auto"/>
                <w:sz w:val="22"/>
                <w:szCs w:val="13"/>
                <w:highlight w:val="none"/>
              </w:rPr>
              <w:t>年）</w:t>
            </w:r>
          </w:p>
        </w:tc>
        <w:tc>
          <w:tcPr>
            <w:tcW w:w="635" w:type="pct"/>
            <w:noWrap/>
            <w:vAlign w:val="center"/>
          </w:tcPr>
          <w:p w14:paraId="1AECA4A6">
            <w:pPr>
              <w:shd w:val="clear" w:color="auto"/>
              <w:jc w:val="center"/>
              <w:rPr>
                <w:rFonts w:ascii="宋体" w:hAnsi="宋体" w:cs="宋体"/>
                <w:bCs/>
                <w:color w:val="auto"/>
                <w:sz w:val="22"/>
                <w:szCs w:val="13"/>
                <w:highlight w:val="none"/>
              </w:rPr>
            </w:pPr>
            <w:r>
              <w:rPr>
                <w:rFonts w:hint="eastAsia" w:ascii="宋体" w:hAnsi="宋体" w:cs="宋体"/>
                <w:bCs/>
                <w:color w:val="auto"/>
                <w:sz w:val="22"/>
                <w:szCs w:val="13"/>
                <w:highlight w:val="none"/>
              </w:rPr>
              <w:t>备注</w:t>
            </w:r>
          </w:p>
        </w:tc>
      </w:tr>
      <w:tr w14:paraId="6D2EA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279" w:type="pct"/>
            <w:noWrap/>
            <w:vAlign w:val="center"/>
          </w:tcPr>
          <w:p w14:paraId="7E6AA38A">
            <w:pPr>
              <w:shd w:val="clear" w:color="auto"/>
              <w:jc w:val="center"/>
              <w:rPr>
                <w:rFonts w:ascii="宋体" w:hAnsi="宋体" w:cs="宋体"/>
                <w:bCs/>
                <w:color w:val="auto"/>
                <w:sz w:val="22"/>
                <w:szCs w:val="13"/>
                <w:highlight w:val="none"/>
              </w:rPr>
            </w:pPr>
            <w:r>
              <w:rPr>
                <w:rFonts w:hint="eastAsia" w:ascii="宋体" w:hAnsi="宋体" w:cs="宋体"/>
                <w:bCs/>
                <w:color w:val="auto"/>
                <w:sz w:val="22"/>
                <w:szCs w:val="13"/>
                <w:highlight w:val="none"/>
              </w:rPr>
              <w:t>1</w:t>
            </w:r>
          </w:p>
        </w:tc>
        <w:tc>
          <w:tcPr>
            <w:tcW w:w="1345" w:type="pct"/>
            <w:noWrap/>
            <w:vAlign w:val="center"/>
          </w:tcPr>
          <w:p w14:paraId="1EEDE532">
            <w:pP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员工工资、福利、法定计提费用</w:t>
            </w:r>
          </w:p>
        </w:tc>
        <w:tc>
          <w:tcPr>
            <w:tcW w:w="679" w:type="pct"/>
            <w:gridSpan w:val="2"/>
            <w:noWrap/>
            <w:vAlign w:val="center"/>
          </w:tcPr>
          <w:p w14:paraId="5647677C">
            <w:pPr>
              <w:shd w:val="clear" w:color="auto"/>
              <w:jc w:val="center"/>
              <w:rPr>
                <w:rFonts w:ascii="宋体" w:hAnsi="宋体" w:cs="宋体"/>
                <w:bCs/>
                <w:color w:val="auto"/>
                <w:sz w:val="22"/>
                <w:szCs w:val="13"/>
                <w:highlight w:val="none"/>
              </w:rPr>
            </w:pPr>
          </w:p>
        </w:tc>
        <w:tc>
          <w:tcPr>
            <w:tcW w:w="679" w:type="pct"/>
            <w:noWrap/>
            <w:vAlign w:val="center"/>
          </w:tcPr>
          <w:p w14:paraId="28C8C07C">
            <w:pPr>
              <w:shd w:val="clear" w:color="auto"/>
              <w:jc w:val="center"/>
              <w:rPr>
                <w:rFonts w:ascii="宋体" w:hAnsi="宋体" w:cs="宋体"/>
                <w:bCs/>
                <w:color w:val="auto"/>
                <w:sz w:val="22"/>
                <w:szCs w:val="13"/>
                <w:highlight w:val="none"/>
              </w:rPr>
            </w:pPr>
          </w:p>
        </w:tc>
        <w:tc>
          <w:tcPr>
            <w:tcW w:w="746" w:type="pct"/>
            <w:noWrap/>
            <w:vAlign w:val="center"/>
          </w:tcPr>
          <w:p w14:paraId="06268F25">
            <w:pPr>
              <w:shd w:val="clear" w:color="auto"/>
              <w:jc w:val="center"/>
              <w:rPr>
                <w:rFonts w:ascii="宋体" w:hAnsi="宋体" w:cs="宋体"/>
                <w:bCs/>
                <w:color w:val="auto"/>
                <w:sz w:val="22"/>
                <w:szCs w:val="13"/>
                <w:highlight w:val="none"/>
              </w:rPr>
            </w:pPr>
          </w:p>
        </w:tc>
        <w:tc>
          <w:tcPr>
            <w:tcW w:w="635" w:type="pct"/>
            <w:noWrap/>
            <w:vAlign w:val="center"/>
          </w:tcPr>
          <w:p w14:paraId="7D66F6CA">
            <w:pPr>
              <w:shd w:val="clear" w:color="auto"/>
              <w:jc w:val="center"/>
              <w:rPr>
                <w:rFonts w:hint="eastAsia" w:ascii="宋体" w:hAnsi="宋体" w:cs="宋体"/>
                <w:bCs/>
                <w:color w:val="auto"/>
                <w:sz w:val="22"/>
                <w:szCs w:val="13"/>
                <w:highlight w:val="none"/>
              </w:rPr>
            </w:pPr>
          </w:p>
        </w:tc>
        <w:tc>
          <w:tcPr>
            <w:tcW w:w="635" w:type="pct"/>
            <w:noWrap/>
            <w:vAlign w:val="center"/>
          </w:tcPr>
          <w:p w14:paraId="580D9E85">
            <w:pPr>
              <w:shd w:val="clear" w:color="auto"/>
              <w:jc w:val="center"/>
              <w:rPr>
                <w:rFonts w:ascii="宋体" w:hAnsi="宋体" w:cs="宋体"/>
                <w:bCs/>
                <w:color w:val="auto"/>
                <w:sz w:val="22"/>
                <w:szCs w:val="13"/>
                <w:highlight w:val="none"/>
              </w:rPr>
            </w:pPr>
            <w:r>
              <w:rPr>
                <w:rFonts w:hint="eastAsia" w:ascii="宋体" w:hAnsi="宋体" w:cs="宋体"/>
                <w:bCs/>
                <w:color w:val="auto"/>
                <w:sz w:val="22"/>
                <w:szCs w:val="13"/>
                <w:highlight w:val="none"/>
              </w:rPr>
              <w:t>参照表（1）</w:t>
            </w:r>
          </w:p>
        </w:tc>
      </w:tr>
      <w:tr w14:paraId="161AF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279" w:type="pct"/>
            <w:noWrap/>
            <w:vAlign w:val="center"/>
          </w:tcPr>
          <w:p w14:paraId="442A5F0E">
            <w:pPr>
              <w:shd w:val="clear" w:color="auto"/>
              <w:jc w:val="center"/>
              <w:rPr>
                <w:rFonts w:ascii="宋体" w:hAnsi="宋体" w:cs="宋体"/>
                <w:bCs/>
                <w:color w:val="auto"/>
                <w:sz w:val="22"/>
                <w:szCs w:val="13"/>
                <w:highlight w:val="none"/>
              </w:rPr>
            </w:pPr>
            <w:r>
              <w:rPr>
                <w:rFonts w:hint="eastAsia" w:ascii="宋体" w:hAnsi="宋体" w:cs="宋体"/>
                <w:bCs/>
                <w:color w:val="auto"/>
                <w:sz w:val="22"/>
                <w:szCs w:val="13"/>
                <w:highlight w:val="none"/>
              </w:rPr>
              <w:t>2</w:t>
            </w:r>
          </w:p>
        </w:tc>
        <w:tc>
          <w:tcPr>
            <w:tcW w:w="1345" w:type="pct"/>
            <w:noWrap/>
            <w:vAlign w:val="center"/>
          </w:tcPr>
          <w:p w14:paraId="3120D486">
            <w:pP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低值易耗品</w:t>
            </w:r>
          </w:p>
        </w:tc>
        <w:tc>
          <w:tcPr>
            <w:tcW w:w="679" w:type="pct"/>
            <w:gridSpan w:val="2"/>
            <w:noWrap/>
            <w:vAlign w:val="center"/>
          </w:tcPr>
          <w:p w14:paraId="0231C683">
            <w:pPr>
              <w:shd w:val="clear" w:color="auto"/>
              <w:jc w:val="center"/>
              <w:rPr>
                <w:rFonts w:ascii="宋体" w:hAnsi="宋体" w:cs="宋体"/>
                <w:bCs/>
                <w:color w:val="auto"/>
                <w:sz w:val="22"/>
                <w:szCs w:val="13"/>
                <w:highlight w:val="none"/>
              </w:rPr>
            </w:pPr>
          </w:p>
        </w:tc>
        <w:tc>
          <w:tcPr>
            <w:tcW w:w="679" w:type="pct"/>
            <w:noWrap/>
            <w:vAlign w:val="center"/>
          </w:tcPr>
          <w:p w14:paraId="72A97A93">
            <w:pPr>
              <w:shd w:val="clear" w:color="auto"/>
              <w:jc w:val="center"/>
              <w:rPr>
                <w:rFonts w:ascii="宋体" w:hAnsi="宋体" w:cs="宋体"/>
                <w:bCs/>
                <w:color w:val="auto"/>
                <w:sz w:val="22"/>
                <w:szCs w:val="13"/>
                <w:highlight w:val="none"/>
              </w:rPr>
            </w:pPr>
          </w:p>
        </w:tc>
        <w:tc>
          <w:tcPr>
            <w:tcW w:w="746" w:type="pct"/>
            <w:noWrap/>
            <w:vAlign w:val="center"/>
          </w:tcPr>
          <w:p w14:paraId="69D1577E">
            <w:pPr>
              <w:shd w:val="clear" w:color="auto"/>
              <w:jc w:val="center"/>
              <w:rPr>
                <w:rFonts w:ascii="宋体" w:hAnsi="宋体" w:cs="宋体"/>
                <w:bCs/>
                <w:color w:val="auto"/>
                <w:sz w:val="22"/>
                <w:szCs w:val="13"/>
                <w:highlight w:val="none"/>
              </w:rPr>
            </w:pPr>
          </w:p>
        </w:tc>
        <w:tc>
          <w:tcPr>
            <w:tcW w:w="635" w:type="pct"/>
            <w:noWrap/>
            <w:vAlign w:val="center"/>
          </w:tcPr>
          <w:p w14:paraId="192346F2">
            <w:pPr>
              <w:shd w:val="clear" w:color="auto"/>
              <w:jc w:val="center"/>
              <w:rPr>
                <w:rFonts w:hint="eastAsia" w:ascii="宋体" w:hAnsi="宋体" w:cs="宋体"/>
                <w:bCs/>
                <w:color w:val="auto"/>
                <w:sz w:val="22"/>
                <w:szCs w:val="13"/>
                <w:highlight w:val="none"/>
              </w:rPr>
            </w:pPr>
          </w:p>
        </w:tc>
        <w:tc>
          <w:tcPr>
            <w:tcW w:w="635" w:type="pct"/>
            <w:noWrap/>
            <w:vAlign w:val="center"/>
          </w:tcPr>
          <w:p w14:paraId="6675A5DA">
            <w:pPr>
              <w:shd w:val="clear" w:color="auto"/>
              <w:jc w:val="center"/>
              <w:rPr>
                <w:rFonts w:ascii="宋体" w:hAnsi="宋体" w:cs="宋体"/>
                <w:bCs/>
                <w:color w:val="auto"/>
                <w:sz w:val="22"/>
                <w:szCs w:val="13"/>
                <w:highlight w:val="none"/>
              </w:rPr>
            </w:pPr>
            <w:r>
              <w:rPr>
                <w:rFonts w:hint="eastAsia" w:ascii="宋体" w:hAnsi="宋体" w:cs="宋体"/>
                <w:bCs/>
                <w:color w:val="auto"/>
                <w:sz w:val="22"/>
                <w:szCs w:val="13"/>
                <w:highlight w:val="none"/>
              </w:rPr>
              <w:t>参照表（2）</w:t>
            </w:r>
          </w:p>
        </w:tc>
      </w:tr>
      <w:tr w14:paraId="0642B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279" w:type="pct"/>
            <w:noWrap/>
            <w:vAlign w:val="center"/>
          </w:tcPr>
          <w:p w14:paraId="561D62E7">
            <w:pPr>
              <w:shd w:val="clear" w:color="auto"/>
              <w:jc w:val="center"/>
              <w:rPr>
                <w:rFonts w:ascii="宋体" w:hAnsi="宋体" w:cs="宋体"/>
                <w:bCs/>
                <w:color w:val="auto"/>
                <w:sz w:val="22"/>
                <w:szCs w:val="13"/>
                <w:highlight w:val="none"/>
              </w:rPr>
            </w:pPr>
            <w:r>
              <w:rPr>
                <w:rFonts w:hint="eastAsia" w:ascii="宋体" w:hAnsi="宋体" w:cs="宋体"/>
                <w:bCs/>
                <w:color w:val="auto"/>
                <w:sz w:val="22"/>
                <w:szCs w:val="13"/>
                <w:highlight w:val="none"/>
              </w:rPr>
              <w:t>3</w:t>
            </w:r>
          </w:p>
        </w:tc>
        <w:tc>
          <w:tcPr>
            <w:tcW w:w="1345" w:type="pct"/>
            <w:noWrap/>
            <w:vAlign w:val="center"/>
          </w:tcPr>
          <w:p w14:paraId="2383A1FB">
            <w:pP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服装费</w:t>
            </w:r>
          </w:p>
        </w:tc>
        <w:tc>
          <w:tcPr>
            <w:tcW w:w="679" w:type="pct"/>
            <w:gridSpan w:val="2"/>
            <w:noWrap/>
            <w:vAlign w:val="center"/>
          </w:tcPr>
          <w:p w14:paraId="5376F74B">
            <w:pPr>
              <w:shd w:val="clear" w:color="auto"/>
              <w:jc w:val="center"/>
              <w:rPr>
                <w:rFonts w:ascii="宋体" w:hAnsi="宋体" w:cs="宋体"/>
                <w:bCs/>
                <w:color w:val="auto"/>
                <w:sz w:val="22"/>
                <w:szCs w:val="13"/>
                <w:highlight w:val="none"/>
              </w:rPr>
            </w:pPr>
          </w:p>
        </w:tc>
        <w:tc>
          <w:tcPr>
            <w:tcW w:w="679" w:type="pct"/>
            <w:noWrap/>
            <w:vAlign w:val="center"/>
          </w:tcPr>
          <w:p w14:paraId="0CD37ACD">
            <w:pPr>
              <w:shd w:val="clear" w:color="auto"/>
              <w:jc w:val="center"/>
              <w:rPr>
                <w:rFonts w:ascii="宋体" w:hAnsi="宋体" w:cs="宋体"/>
                <w:bCs/>
                <w:color w:val="auto"/>
                <w:sz w:val="22"/>
                <w:szCs w:val="13"/>
                <w:highlight w:val="none"/>
              </w:rPr>
            </w:pPr>
          </w:p>
        </w:tc>
        <w:tc>
          <w:tcPr>
            <w:tcW w:w="746" w:type="pct"/>
            <w:noWrap/>
            <w:vAlign w:val="center"/>
          </w:tcPr>
          <w:p w14:paraId="54E1A54C">
            <w:pPr>
              <w:shd w:val="clear" w:color="auto"/>
              <w:jc w:val="center"/>
              <w:rPr>
                <w:rFonts w:ascii="宋体" w:hAnsi="宋体" w:cs="宋体"/>
                <w:bCs/>
                <w:color w:val="auto"/>
                <w:sz w:val="22"/>
                <w:szCs w:val="13"/>
                <w:highlight w:val="none"/>
              </w:rPr>
            </w:pPr>
          </w:p>
        </w:tc>
        <w:tc>
          <w:tcPr>
            <w:tcW w:w="635" w:type="pct"/>
            <w:noWrap/>
            <w:vAlign w:val="center"/>
          </w:tcPr>
          <w:p w14:paraId="7635A8AF">
            <w:pPr>
              <w:shd w:val="clear" w:color="auto"/>
              <w:jc w:val="center"/>
              <w:rPr>
                <w:rFonts w:hint="eastAsia" w:ascii="宋体" w:hAnsi="宋体" w:cs="宋体"/>
                <w:bCs/>
                <w:color w:val="auto"/>
                <w:sz w:val="22"/>
                <w:szCs w:val="13"/>
                <w:highlight w:val="none"/>
              </w:rPr>
            </w:pPr>
          </w:p>
        </w:tc>
        <w:tc>
          <w:tcPr>
            <w:tcW w:w="635" w:type="pct"/>
            <w:noWrap/>
            <w:vAlign w:val="center"/>
          </w:tcPr>
          <w:p w14:paraId="30782632">
            <w:pPr>
              <w:shd w:val="clear" w:color="auto"/>
              <w:jc w:val="center"/>
              <w:rPr>
                <w:rFonts w:ascii="宋体" w:hAnsi="宋体" w:cs="宋体"/>
                <w:bCs/>
                <w:color w:val="auto"/>
                <w:sz w:val="22"/>
                <w:szCs w:val="13"/>
                <w:highlight w:val="none"/>
              </w:rPr>
            </w:pPr>
            <w:r>
              <w:rPr>
                <w:rFonts w:hint="eastAsia" w:ascii="宋体" w:hAnsi="宋体" w:cs="宋体"/>
                <w:bCs/>
                <w:color w:val="auto"/>
                <w:sz w:val="22"/>
                <w:szCs w:val="13"/>
                <w:highlight w:val="none"/>
              </w:rPr>
              <w:t>自行列表说明</w:t>
            </w:r>
          </w:p>
        </w:tc>
      </w:tr>
      <w:tr w14:paraId="425DE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279" w:type="pct"/>
            <w:noWrap/>
            <w:vAlign w:val="center"/>
          </w:tcPr>
          <w:p w14:paraId="4D73B273">
            <w:pPr>
              <w:shd w:val="clear" w:color="auto"/>
              <w:jc w:val="center"/>
              <w:rPr>
                <w:rFonts w:ascii="宋体" w:hAnsi="宋体" w:cs="宋体"/>
                <w:bCs/>
                <w:color w:val="auto"/>
                <w:sz w:val="22"/>
                <w:szCs w:val="13"/>
                <w:highlight w:val="none"/>
              </w:rPr>
            </w:pPr>
            <w:r>
              <w:rPr>
                <w:rFonts w:hint="eastAsia" w:ascii="宋体" w:hAnsi="宋体" w:cs="宋体"/>
                <w:bCs/>
                <w:color w:val="auto"/>
                <w:sz w:val="22"/>
                <w:szCs w:val="13"/>
                <w:highlight w:val="none"/>
              </w:rPr>
              <w:t>4</w:t>
            </w:r>
          </w:p>
        </w:tc>
        <w:tc>
          <w:tcPr>
            <w:tcW w:w="1345" w:type="pct"/>
            <w:noWrap/>
            <w:vAlign w:val="center"/>
          </w:tcPr>
          <w:p w14:paraId="444D9B59">
            <w:pP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培训、体检等费用</w:t>
            </w:r>
          </w:p>
        </w:tc>
        <w:tc>
          <w:tcPr>
            <w:tcW w:w="679" w:type="pct"/>
            <w:gridSpan w:val="2"/>
            <w:noWrap/>
            <w:vAlign w:val="center"/>
          </w:tcPr>
          <w:p w14:paraId="7A9AA7D4">
            <w:pPr>
              <w:shd w:val="clear" w:color="auto"/>
              <w:jc w:val="center"/>
              <w:rPr>
                <w:rFonts w:ascii="宋体" w:hAnsi="宋体" w:cs="宋体"/>
                <w:bCs/>
                <w:color w:val="auto"/>
                <w:sz w:val="22"/>
                <w:szCs w:val="13"/>
                <w:highlight w:val="none"/>
              </w:rPr>
            </w:pPr>
          </w:p>
        </w:tc>
        <w:tc>
          <w:tcPr>
            <w:tcW w:w="679" w:type="pct"/>
            <w:noWrap/>
            <w:vAlign w:val="center"/>
          </w:tcPr>
          <w:p w14:paraId="52959FAB">
            <w:pPr>
              <w:shd w:val="clear" w:color="auto"/>
              <w:jc w:val="center"/>
              <w:rPr>
                <w:rFonts w:ascii="宋体" w:hAnsi="宋体" w:cs="宋体"/>
                <w:bCs/>
                <w:color w:val="auto"/>
                <w:sz w:val="22"/>
                <w:szCs w:val="13"/>
                <w:highlight w:val="none"/>
              </w:rPr>
            </w:pPr>
          </w:p>
        </w:tc>
        <w:tc>
          <w:tcPr>
            <w:tcW w:w="746" w:type="pct"/>
            <w:noWrap/>
            <w:vAlign w:val="center"/>
          </w:tcPr>
          <w:p w14:paraId="53807738">
            <w:pPr>
              <w:shd w:val="clear" w:color="auto"/>
              <w:jc w:val="center"/>
              <w:rPr>
                <w:rFonts w:ascii="宋体" w:hAnsi="宋体" w:cs="宋体"/>
                <w:bCs/>
                <w:color w:val="auto"/>
                <w:sz w:val="22"/>
                <w:szCs w:val="13"/>
                <w:highlight w:val="none"/>
              </w:rPr>
            </w:pPr>
          </w:p>
        </w:tc>
        <w:tc>
          <w:tcPr>
            <w:tcW w:w="635" w:type="pct"/>
            <w:noWrap/>
            <w:vAlign w:val="center"/>
          </w:tcPr>
          <w:p w14:paraId="2BF08F5C">
            <w:pPr>
              <w:shd w:val="clear" w:color="auto"/>
              <w:jc w:val="center"/>
              <w:rPr>
                <w:rFonts w:hint="eastAsia" w:ascii="宋体" w:hAnsi="宋体" w:cs="宋体"/>
                <w:bCs/>
                <w:color w:val="auto"/>
                <w:sz w:val="22"/>
                <w:szCs w:val="13"/>
                <w:highlight w:val="none"/>
              </w:rPr>
            </w:pPr>
          </w:p>
        </w:tc>
        <w:tc>
          <w:tcPr>
            <w:tcW w:w="635" w:type="pct"/>
            <w:noWrap/>
            <w:vAlign w:val="center"/>
          </w:tcPr>
          <w:p w14:paraId="77F70D30">
            <w:pPr>
              <w:shd w:val="clear" w:color="auto"/>
              <w:jc w:val="center"/>
              <w:rPr>
                <w:rFonts w:ascii="宋体" w:hAnsi="宋体" w:cs="宋体"/>
                <w:bCs/>
                <w:color w:val="auto"/>
                <w:sz w:val="22"/>
                <w:szCs w:val="13"/>
                <w:highlight w:val="none"/>
              </w:rPr>
            </w:pPr>
            <w:r>
              <w:rPr>
                <w:rFonts w:hint="eastAsia" w:ascii="宋体" w:hAnsi="宋体" w:cs="宋体"/>
                <w:bCs/>
                <w:color w:val="auto"/>
                <w:sz w:val="22"/>
                <w:szCs w:val="13"/>
                <w:highlight w:val="none"/>
              </w:rPr>
              <w:t>自行列表说明</w:t>
            </w:r>
          </w:p>
        </w:tc>
      </w:tr>
      <w:tr w14:paraId="704E6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279" w:type="pct"/>
            <w:noWrap/>
            <w:vAlign w:val="center"/>
          </w:tcPr>
          <w:p w14:paraId="05CCF0E8">
            <w:pPr>
              <w:shd w:val="clear" w:color="auto"/>
              <w:jc w:val="center"/>
              <w:rPr>
                <w:rFonts w:ascii="宋体" w:hAnsi="宋体" w:cs="宋体"/>
                <w:bCs/>
                <w:color w:val="auto"/>
                <w:sz w:val="22"/>
                <w:szCs w:val="13"/>
                <w:highlight w:val="none"/>
              </w:rPr>
            </w:pPr>
            <w:r>
              <w:rPr>
                <w:rFonts w:hint="eastAsia" w:ascii="宋体" w:hAnsi="宋体" w:cs="宋体"/>
                <w:bCs/>
                <w:color w:val="auto"/>
                <w:sz w:val="22"/>
                <w:szCs w:val="13"/>
                <w:highlight w:val="none"/>
              </w:rPr>
              <w:t>5</w:t>
            </w:r>
          </w:p>
        </w:tc>
        <w:tc>
          <w:tcPr>
            <w:tcW w:w="1345" w:type="pct"/>
            <w:noWrap/>
            <w:vAlign w:val="center"/>
          </w:tcPr>
          <w:p w14:paraId="1F7706C4">
            <w:pP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高峰期增加费用</w:t>
            </w:r>
          </w:p>
        </w:tc>
        <w:tc>
          <w:tcPr>
            <w:tcW w:w="679" w:type="pct"/>
            <w:gridSpan w:val="2"/>
            <w:noWrap/>
            <w:vAlign w:val="center"/>
          </w:tcPr>
          <w:p w14:paraId="3CF461A2">
            <w:pPr>
              <w:shd w:val="clear" w:color="auto"/>
              <w:jc w:val="center"/>
              <w:rPr>
                <w:rFonts w:ascii="宋体" w:hAnsi="宋体" w:cs="宋体"/>
                <w:bCs/>
                <w:color w:val="auto"/>
                <w:sz w:val="22"/>
                <w:szCs w:val="13"/>
                <w:highlight w:val="none"/>
              </w:rPr>
            </w:pPr>
          </w:p>
        </w:tc>
        <w:tc>
          <w:tcPr>
            <w:tcW w:w="679" w:type="pct"/>
            <w:noWrap/>
            <w:vAlign w:val="center"/>
          </w:tcPr>
          <w:p w14:paraId="27B3AB59">
            <w:pPr>
              <w:shd w:val="clear" w:color="auto"/>
              <w:jc w:val="center"/>
              <w:rPr>
                <w:rFonts w:ascii="宋体" w:hAnsi="宋体" w:cs="宋体"/>
                <w:bCs/>
                <w:color w:val="auto"/>
                <w:sz w:val="22"/>
                <w:szCs w:val="13"/>
                <w:highlight w:val="none"/>
              </w:rPr>
            </w:pPr>
          </w:p>
        </w:tc>
        <w:tc>
          <w:tcPr>
            <w:tcW w:w="746" w:type="pct"/>
            <w:noWrap/>
            <w:vAlign w:val="center"/>
          </w:tcPr>
          <w:p w14:paraId="2539321A">
            <w:pPr>
              <w:shd w:val="clear" w:color="auto"/>
              <w:jc w:val="center"/>
              <w:rPr>
                <w:rFonts w:ascii="宋体" w:hAnsi="宋体" w:cs="宋体"/>
                <w:bCs/>
                <w:color w:val="auto"/>
                <w:sz w:val="22"/>
                <w:szCs w:val="13"/>
                <w:highlight w:val="none"/>
              </w:rPr>
            </w:pPr>
          </w:p>
        </w:tc>
        <w:tc>
          <w:tcPr>
            <w:tcW w:w="635" w:type="pct"/>
            <w:noWrap/>
            <w:vAlign w:val="center"/>
          </w:tcPr>
          <w:p w14:paraId="760B5153">
            <w:pPr>
              <w:shd w:val="clear" w:color="auto"/>
              <w:jc w:val="center"/>
              <w:rPr>
                <w:rFonts w:hint="eastAsia" w:ascii="宋体" w:hAnsi="宋体" w:cs="宋体"/>
                <w:bCs/>
                <w:color w:val="auto"/>
                <w:sz w:val="22"/>
                <w:szCs w:val="13"/>
                <w:highlight w:val="none"/>
              </w:rPr>
            </w:pPr>
          </w:p>
        </w:tc>
        <w:tc>
          <w:tcPr>
            <w:tcW w:w="635" w:type="pct"/>
            <w:noWrap/>
            <w:vAlign w:val="center"/>
          </w:tcPr>
          <w:p w14:paraId="51DD0AD8">
            <w:pPr>
              <w:shd w:val="clear" w:color="auto"/>
              <w:jc w:val="center"/>
              <w:rPr>
                <w:rFonts w:ascii="宋体" w:hAnsi="宋体" w:cs="宋体"/>
                <w:bCs/>
                <w:color w:val="auto"/>
                <w:sz w:val="22"/>
                <w:szCs w:val="13"/>
                <w:highlight w:val="none"/>
              </w:rPr>
            </w:pPr>
            <w:r>
              <w:rPr>
                <w:rFonts w:hint="eastAsia" w:ascii="宋体" w:hAnsi="宋体" w:cs="宋体"/>
                <w:bCs/>
                <w:color w:val="auto"/>
                <w:sz w:val="22"/>
                <w:szCs w:val="13"/>
                <w:highlight w:val="none"/>
              </w:rPr>
              <w:t>自行列表说明</w:t>
            </w:r>
          </w:p>
        </w:tc>
      </w:tr>
      <w:tr w14:paraId="51823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279" w:type="pct"/>
            <w:noWrap/>
            <w:vAlign w:val="center"/>
          </w:tcPr>
          <w:p w14:paraId="02D46455">
            <w:pPr>
              <w:shd w:val="clear" w:color="auto"/>
              <w:jc w:val="center"/>
              <w:rPr>
                <w:rFonts w:ascii="宋体" w:hAnsi="宋体" w:cs="宋体"/>
                <w:bCs/>
                <w:color w:val="auto"/>
                <w:sz w:val="22"/>
                <w:szCs w:val="13"/>
                <w:highlight w:val="none"/>
              </w:rPr>
            </w:pPr>
            <w:r>
              <w:rPr>
                <w:rFonts w:hint="eastAsia" w:ascii="宋体" w:hAnsi="宋体" w:cs="宋体"/>
                <w:bCs/>
                <w:color w:val="auto"/>
                <w:sz w:val="22"/>
                <w:szCs w:val="13"/>
                <w:highlight w:val="none"/>
              </w:rPr>
              <w:t>6</w:t>
            </w:r>
          </w:p>
        </w:tc>
        <w:tc>
          <w:tcPr>
            <w:tcW w:w="1345" w:type="pct"/>
            <w:noWrap/>
            <w:vAlign w:val="center"/>
          </w:tcPr>
          <w:p w14:paraId="02408C3F">
            <w:pP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合理利润</w:t>
            </w:r>
          </w:p>
        </w:tc>
        <w:tc>
          <w:tcPr>
            <w:tcW w:w="679" w:type="pct"/>
            <w:gridSpan w:val="2"/>
            <w:noWrap/>
            <w:vAlign w:val="center"/>
          </w:tcPr>
          <w:p w14:paraId="2E2D47FA">
            <w:pPr>
              <w:shd w:val="clear" w:color="auto"/>
              <w:jc w:val="center"/>
              <w:rPr>
                <w:rFonts w:ascii="宋体" w:hAnsi="宋体" w:cs="宋体"/>
                <w:bCs/>
                <w:color w:val="auto"/>
                <w:sz w:val="22"/>
                <w:szCs w:val="13"/>
                <w:highlight w:val="none"/>
              </w:rPr>
            </w:pPr>
          </w:p>
        </w:tc>
        <w:tc>
          <w:tcPr>
            <w:tcW w:w="679" w:type="pct"/>
            <w:noWrap/>
            <w:vAlign w:val="center"/>
          </w:tcPr>
          <w:p w14:paraId="5D005C55">
            <w:pPr>
              <w:shd w:val="clear" w:color="auto"/>
              <w:jc w:val="center"/>
              <w:rPr>
                <w:rFonts w:ascii="宋体" w:hAnsi="宋体" w:cs="宋体"/>
                <w:bCs/>
                <w:color w:val="auto"/>
                <w:sz w:val="22"/>
                <w:szCs w:val="13"/>
                <w:highlight w:val="none"/>
              </w:rPr>
            </w:pPr>
          </w:p>
        </w:tc>
        <w:tc>
          <w:tcPr>
            <w:tcW w:w="746" w:type="pct"/>
            <w:noWrap/>
            <w:vAlign w:val="center"/>
          </w:tcPr>
          <w:p w14:paraId="37E99C56">
            <w:pPr>
              <w:shd w:val="clear" w:color="auto"/>
              <w:jc w:val="center"/>
              <w:rPr>
                <w:rFonts w:ascii="宋体" w:hAnsi="宋体" w:cs="宋体"/>
                <w:bCs/>
                <w:color w:val="auto"/>
                <w:sz w:val="22"/>
                <w:szCs w:val="13"/>
                <w:highlight w:val="none"/>
              </w:rPr>
            </w:pPr>
          </w:p>
        </w:tc>
        <w:tc>
          <w:tcPr>
            <w:tcW w:w="635" w:type="pct"/>
            <w:noWrap/>
            <w:vAlign w:val="center"/>
          </w:tcPr>
          <w:p w14:paraId="2F9BFE3F">
            <w:pPr>
              <w:shd w:val="clear" w:color="auto"/>
              <w:jc w:val="center"/>
              <w:rPr>
                <w:rFonts w:ascii="宋体" w:hAnsi="宋体" w:cs="宋体"/>
                <w:bCs/>
                <w:color w:val="auto"/>
                <w:sz w:val="22"/>
                <w:szCs w:val="13"/>
                <w:highlight w:val="none"/>
              </w:rPr>
            </w:pPr>
          </w:p>
        </w:tc>
        <w:tc>
          <w:tcPr>
            <w:tcW w:w="635" w:type="pct"/>
            <w:noWrap/>
            <w:vAlign w:val="center"/>
          </w:tcPr>
          <w:p w14:paraId="5C7F73B7">
            <w:pPr>
              <w:shd w:val="clear" w:color="auto"/>
              <w:jc w:val="center"/>
              <w:rPr>
                <w:rFonts w:ascii="宋体" w:hAnsi="宋体" w:cs="宋体"/>
                <w:bCs/>
                <w:color w:val="auto"/>
                <w:sz w:val="22"/>
                <w:szCs w:val="13"/>
                <w:highlight w:val="none"/>
              </w:rPr>
            </w:pPr>
          </w:p>
        </w:tc>
      </w:tr>
      <w:tr w14:paraId="22970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279" w:type="pct"/>
            <w:noWrap/>
            <w:vAlign w:val="center"/>
          </w:tcPr>
          <w:p w14:paraId="160BEE82">
            <w:pPr>
              <w:shd w:val="clear" w:color="auto"/>
              <w:jc w:val="center"/>
              <w:rPr>
                <w:rFonts w:ascii="宋体" w:hAnsi="宋体" w:cs="宋体"/>
                <w:bCs/>
                <w:color w:val="auto"/>
                <w:sz w:val="22"/>
                <w:szCs w:val="13"/>
                <w:highlight w:val="none"/>
              </w:rPr>
            </w:pPr>
            <w:r>
              <w:rPr>
                <w:rFonts w:hint="eastAsia" w:ascii="宋体" w:hAnsi="宋体" w:cs="宋体"/>
                <w:bCs/>
                <w:color w:val="auto"/>
                <w:sz w:val="22"/>
                <w:szCs w:val="13"/>
                <w:highlight w:val="none"/>
              </w:rPr>
              <w:t>7</w:t>
            </w:r>
          </w:p>
        </w:tc>
        <w:tc>
          <w:tcPr>
            <w:tcW w:w="1345" w:type="pct"/>
            <w:noWrap/>
            <w:vAlign w:val="center"/>
          </w:tcPr>
          <w:p w14:paraId="5BF62FE0">
            <w:pP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税金</w:t>
            </w:r>
          </w:p>
        </w:tc>
        <w:tc>
          <w:tcPr>
            <w:tcW w:w="679" w:type="pct"/>
            <w:gridSpan w:val="2"/>
            <w:noWrap/>
            <w:vAlign w:val="center"/>
          </w:tcPr>
          <w:p w14:paraId="52CFEB8C">
            <w:pPr>
              <w:shd w:val="clear" w:color="auto"/>
              <w:jc w:val="center"/>
              <w:rPr>
                <w:rFonts w:ascii="宋体" w:hAnsi="宋体" w:cs="宋体"/>
                <w:bCs/>
                <w:color w:val="auto"/>
                <w:sz w:val="22"/>
                <w:szCs w:val="13"/>
                <w:highlight w:val="none"/>
              </w:rPr>
            </w:pPr>
          </w:p>
        </w:tc>
        <w:tc>
          <w:tcPr>
            <w:tcW w:w="679" w:type="pct"/>
            <w:noWrap/>
            <w:vAlign w:val="center"/>
          </w:tcPr>
          <w:p w14:paraId="3077FEC4">
            <w:pPr>
              <w:shd w:val="clear" w:color="auto"/>
              <w:jc w:val="center"/>
              <w:rPr>
                <w:rFonts w:ascii="宋体" w:hAnsi="宋体" w:cs="宋体"/>
                <w:bCs/>
                <w:color w:val="auto"/>
                <w:sz w:val="22"/>
                <w:szCs w:val="13"/>
                <w:highlight w:val="none"/>
              </w:rPr>
            </w:pPr>
          </w:p>
        </w:tc>
        <w:tc>
          <w:tcPr>
            <w:tcW w:w="746" w:type="pct"/>
            <w:noWrap/>
            <w:vAlign w:val="center"/>
          </w:tcPr>
          <w:p w14:paraId="69074442">
            <w:pPr>
              <w:shd w:val="clear" w:color="auto"/>
              <w:jc w:val="center"/>
              <w:rPr>
                <w:rFonts w:ascii="宋体" w:hAnsi="宋体" w:cs="宋体"/>
                <w:bCs/>
                <w:color w:val="auto"/>
                <w:sz w:val="22"/>
                <w:szCs w:val="13"/>
                <w:highlight w:val="none"/>
              </w:rPr>
            </w:pPr>
          </w:p>
        </w:tc>
        <w:tc>
          <w:tcPr>
            <w:tcW w:w="635" w:type="pct"/>
            <w:noWrap/>
            <w:vAlign w:val="center"/>
          </w:tcPr>
          <w:p w14:paraId="3C8A73C2">
            <w:pPr>
              <w:shd w:val="clear" w:color="auto"/>
              <w:jc w:val="center"/>
              <w:rPr>
                <w:rFonts w:ascii="宋体" w:hAnsi="宋体" w:cs="宋体"/>
                <w:bCs/>
                <w:color w:val="auto"/>
                <w:sz w:val="22"/>
                <w:szCs w:val="13"/>
                <w:highlight w:val="none"/>
              </w:rPr>
            </w:pPr>
          </w:p>
        </w:tc>
        <w:tc>
          <w:tcPr>
            <w:tcW w:w="635" w:type="pct"/>
            <w:noWrap/>
            <w:vAlign w:val="center"/>
          </w:tcPr>
          <w:p w14:paraId="6BFEF0A5">
            <w:pPr>
              <w:shd w:val="clear" w:color="auto"/>
              <w:jc w:val="center"/>
              <w:rPr>
                <w:rFonts w:ascii="宋体" w:hAnsi="宋体" w:cs="宋体"/>
                <w:bCs/>
                <w:color w:val="auto"/>
                <w:sz w:val="22"/>
                <w:szCs w:val="13"/>
                <w:highlight w:val="none"/>
              </w:rPr>
            </w:pPr>
          </w:p>
        </w:tc>
      </w:tr>
      <w:tr w14:paraId="02A9D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279" w:type="pct"/>
            <w:noWrap/>
            <w:vAlign w:val="center"/>
          </w:tcPr>
          <w:p w14:paraId="23EDAABE">
            <w:pPr>
              <w:shd w:val="clear" w:color="auto"/>
              <w:jc w:val="center"/>
              <w:rPr>
                <w:rFonts w:ascii="宋体" w:hAnsi="宋体" w:cs="宋体"/>
                <w:bCs/>
                <w:color w:val="auto"/>
                <w:sz w:val="22"/>
                <w:szCs w:val="13"/>
                <w:highlight w:val="none"/>
              </w:rPr>
            </w:pPr>
            <w:r>
              <w:rPr>
                <w:rFonts w:hint="eastAsia" w:ascii="宋体" w:hAnsi="宋体" w:cs="宋体"/>
                <w:bCs/>
                <w:color w:val="auto"/>
                <w:sz w:val="22"/>
                <w:szCs w:val="13"/>
                <w:highlight w:val="none"/>
              </w:rPr>
              <w:t>8</w:t>
            </w:r>
          </w:p>
        </w:tc>
        <w:tc>
          <w:tcPr>
            <w:tcW w:w="1345" w:type="pct"/>
            <w:noWrap/>
            <w:vAlign w:val="center"/>
          </w:tcPr>
          <w:p w14:paraId="78E2BC04">
            <w:pP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其他支出</w:t>
            </w:r>
          </w:p>
        </w:tc>
        <w:tc>
          <w:tcPr>
            <w:tcW w:w="679" w:type="pct"/>
            <w:gridSpan w:val="2"/>
            <w:noWrap/>
            <w:vAlign w:val="center"/>
          </w:tcPr>
          <w:p w14:paraId="357F348D">
            <w:pPr>
              <w:shd w:val="clear" w:color="auto"/>
              <w:jc w:val="center"/>
              <w:rPr>
                <w:rFonts w:ascii="宋体" w:hAnsi="宋体" w:cs="宋体"/>
                <w:bCs/>
                <w:color w:val="auto"/>
                <w:sz w:val="22"/>
                <w:szCs w:val="13"/>
                <w:highlight w:val="none"/>
              </w:rPr>
            </w:pPr>
          </w:p>
        </w:tc>
        <w:tc>
          <w:tcPr>
            <w:tcW w:w="679" w:type="pct"/>
            <w:noWrap/>
            <w:vAlign w:val="center"/>
          </w:tcPr>
          <w:p w14:paraId="345C7471">
            <w:pPr>
              <w:shd w:val="clear" w:color="auto"/>
              <w:jc w:val="center"/>
              <w:rPr>
                <w:rFonts w:ascii="宋体" w:hAnsi="宋体" w:cs="宋体"/>
                <w:bCs/>
                <w:color w:val="auto"/>
                <w:sz w:val="22"/>
                <w:szCs w:val="13"/>
                <w:highlight w:val="none"/>
              </w:rPr>
            </w:pPr>
          </w:p>
        </w:tc>
        <w:tc>
          <w:tcPr>
            <w:tcW w:w="746" w:type="pct"/>
            <w:noWrap/>
            <w:vAlign w:val="center"/>
          </w:tcPr>
          <w:p w14:paraId="716B0B6F">
            <w:pPr>
              <w:shd w:val="clear" w:color="auto"/>
              <w:jc w:val="center"/>
              <w:rPr>
                <w:rFonts w:ascii="宋体" w:hAnsi="宋体" w:cs="宋体"/>
                <w:bCs/>
                <w:color w:val="auto"/>
                <w:sz w:val="22"/>
                <w:szCs w:val="13"/>
                <w:highlight w:val="none"/>
              </w:rPr>
            </w:pPr>
          </w:p>
        </w:tc>
        <w:tc>
          <w:tcPr>
            <w:tcW w:w="635" w:type="pct"/>
            <w:noWrap/>
            <w:vAlign w:val="center"/>
          </w:tcPr>
          <w:p w14:paraId="126A0544">
            <w:pPr>
              <w:shd w:val="clear" w:color="auto"/>
              <w:jc w:val="center"/>
              <w:rPr>
                <w:rFonts w:ascii="宋体" w:hAnsi="宋体" w:cs="宋体"/>
                <w:bCs/>
                <w:color w:val="auto"/>
                <w:sz w:val="22"/>
                <w:szCs w:val="13"/>
                <w:highlight w:val="none"/>
              </w:rPr>
            </w:pPr>
          </w:p>
        </w:tc>
        <w:tc>
          <w:tcPr>
            <w:tcW w:w="635" w:type="pct"/>
            <w:noWrap/>
            <w:vAlign w:val="center"/>
          </w:tcPr>
          <w:p w14:paraId="2DC4CCA3">
            <w:pPr>
              <w:shd w:val="clear" w:color="auto"/>
              <w:jc w:val="center"/>
              <w:rPr>
                <w:rFonts w:ascii="宋体" w:hAnsi="宋体" w:cs="宋体"/>
                <w:bCs/>
                <w:color w:val="auto"/>
                <w:sz w:val="22"/>
                <w:szCs w:val="13"/>
                <w:highlight w:val="none"/>
              </w:rPr>
            </w:pPr>
          </w:p>
        </w:tc>
      </w:tr>
      <w:tr w14:paraId="3EF83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279" w:type="pct"/>
            <w:noWrap/>
            <w:vAlign w:val="center"/>
          </w:tcPr>
          <w:p w14:paraId="379C0073">
            <w:pPr>
              <w:shd w:val="clear" w:color="auto"/>
              <w:jc w:val="center"/>
              <w:rPr>
                <w:rFonts w:ascii="宋体" w:hAnsi="宋体" w:cs="宋体"/>
                <w:bCs/>
                <w:color w:val="auto"/>
                <w:sz w:val="22"/>
                <w:szCs w:val="13"/>
                <w:highlight w:val="none"/>
              </w:rPr>
            </w:pPr>
            <w:r>
              <w:rPr>
                <w:rFonts w:hint="eastAsia" w:ascii="宋体" w:hAnsi="宋体" w:cs="宋体"/>
                <w:bCs/>
                <w:color w:val="auto"/>
                <w:sz w:val="22"/>
                <w:szCs w:val="13"/>
                <w:highlight w:val="none"/>
              </w:rPr>
              <w:t>……</w:t>
            </w:r>
          </w:p>
        </w:tc>
        <w:tc>
          <w:tcPr>
            <w:tcW w:w="1345" w:type="pct"/>
            <w:noWrap/>
            <w:vAlign w:val="center"/>
          </w:tcPr>
          <w:p w14:paraId="10D46E1D">
            <w:pPr>
              <w:shd w:val="clear" w:color="auto"/>
              <w:jc w:val="center"/>
              <w:rPr>
                <w:rFonts w:ascii="宋体" w:hAnsi="宋体" w:cs="宋体"/>
                <w:bCs/>
                <w:color w:val="auto"/>
                <w:sz w:val="22"/>
                <w:szCs w:val="13"/>
                <w:highlight w:val="none"/>
              </w:rPr>
            </w:pPr>
          </w:p>
        </w:tc>
        <w:tc>
          <w:tcPr>
            <w:tcW w:w="679" w:type="pct"/>
            <w:gridSpan w:val="2"/>
            <w:noWrap/>
            <w:vAlign w:val="center"/>
          </w:tcPr>
          <w:p w14:paraId="28235251">
            <w:pPr>
              <w:shd w:val="clear" w:color="auto"/>
              <w:jc w:val="center"/>
              <w:rPr>
                <w:rFonts w:ascii="宋体" w:hAnsi="宋体" w:cs="宋体"/>
                <w:bCs/>
                <w:color w:val="auto"/>
                <w:sz w:val="22"/>
                <w:szCs w:val="13"/>
                <w:highlight w:val="none"/>
              </w:rPr>
            </w:pPr>
          </w:p>
        </w:tc>
        <w:tc>
          <w:tcPr>
            <w:tcW w:w="679" w:type="pct"/>
            <w:noWrap/>
            <w:vAlign w:val="center"/>
          </w:tcPr>
          <w:p w14:paraId="7EBC47D6">
            <w:pPr>
              <w:shd w:val="clear" w:color="auto"/>
              <w:jc w:val="center"/>
              <w:rPr>
                <w:rFonts w:ascii="宋体" w:hAnsi="宋体" w:cs="宋体"/>
                <w:bCs/>
                <w:color w:val="auto"/>
                <w:sz w:val="22"/>
                <w:szCs w:val="13"/>
                <w:highlight w:val="none"/>
              </w:rPr>
            </w:pPr>
          </w:p>
        </w:tc>
        <w:tc>
          <w:tcPr>
            <w:tcW w:w="746" w:type="pct"/>
            <w:noWrap/>
            <w:vAlign w:val="center"/>
          </w:tcPr>
          <w:p w14:paraId="0E26A0D4">
            <w:pPr>
              <w:shd w:val="clear" w:color="auto"/>
              <w:jc w:val="center"/>
              <w:rPr>
                <w:rFonts w:ascii="宋体" w:hAnsi="宋体" w:cs="宋体"/>
                <w:bCs/>
                <w:color w:val="auto"/>
                <w:sz w:val="22"/>
                <w:szCs w:val="13"/>
                <w:highlight w:val="none"/>
              </w:rPr>
            </w:pPr>
          </w:p>
        </w:tc>
        <w:tc>
          <w:tcPr>
            <w:tcW w:w="635" w:type="pct"/>
            <w:noWrap/>
            <w:vAlign w:val="center"/>
          </w:tcPr>
          <w:p w14:paraId="2639C1A6">
            <w:pPr>
              <w:shd w:val="clear" w:color="auto"/>
              <w:jc w:val="center"/>
              <w:rPr>
                <w:rFonts w:ascii="宋体" w:hAnsi="宋体" w:cs="宋体"/>
                <w:bCs/>
                <w:color w:val="auto"/>
                <w:sz w:val="22"/>
                <w:szCs w:val="13"/>
                <w:highlight w:val="none"/>
              </w:rPr>
            </w:pPr>
          </w:p>
        </w:tc>
        <w:tc>
          <w:tcPr>
            <w:tcW w:w="635" w:type="pct"/>
            <w:noWrap/>
            <w:vAlign w:val="center"/>
          </w:tcPr>
          <w:p w14:paraId="32126BE0">
            <w:pPr>
              <w:shd w:val="clear" w:color="auto"/>
              <w:jc w:val="center"/>
              <w:rPr>
                <w:rFonts w:ascii="宋体" w:hAnsi="宋体" w:cs="宋体"/>
                <w:bCs/>
                <w:color w:val="auto"/>
                <w:sz w:val="22"/>
                <w:szCs w:val="13"/>
                <w:highlight w:val="none"/>
              </w:rPr>
            </w:pPr>
          </w:p>
        </w:tc>
      </w:tr>
      <w:tr w14:paraId="2FD88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1625" w:type="pct"/>
            <w:gridSpan w:val="2"/>
            <w:noWrap/>
            <w:vAlign w:val="center"/>
          </w:tcPr>
          <w:p w14:paraId="02673F81">
            <w:pPr>
              <w:shd w:val="clear" w:color="auto"/>
              <w:jc w:val="center"/>
              <w:rPr>
                <w:rFonts w:ascii="宋体" w:hAnsi="宋体" w:cs="宋体"/>
                <w:bCs/>
                <w:color w:val="auto"/>
                <w:sz w:val="22"/>
                <w:szCs w:val="13"/>
                <w:highlight w:val="none"/>
              </w:rPr>
            </w:pPr>
            <w:r>
              <w:rPr>
                <w:rFonts w:hint="eastAsia" w:ascii="宋体" w:hAnsi="宋体" w:cs="宋体"/>
                <w:bCs/>
                <w:color w:val="auto"/>
                <w:sz w:val="22"/>
                <w:szCs w:val="13"/>
                <w:highlight w:val="none"/>
              </w:rPr>
              <w:t>合计</w:t>
            </w:r>
          </w:p>
        </w:tc>
        <w:tc>
          <w:tcPr>
            <w:tcW w:w="679" w:type="pct"/>
            <w:gridSpan w:val="2"/>
            <w:noWrap/>
            <w:vAlign w:val="center"/>
          </w:tcPr>
          <w:p w14:paraId="5DCCF251">
            <w:pPr>
              <w:shd w:val="clear" w:color="auto"/>
              <w:jc w:val="center"/>
              <w:rPr>
                <w:rFonts w:ascii="宋体" w:hAnsi="宋体" w:cs="宋体"/>
                <w:bCs/>
                <w:color w:val="auto"/>
                <w:sz w:val="22"/>
                <w:szCs w:val="13"/>
                <w:highlight w:val="none"/>
              </w:rPr>
            </w:pPr>
          </w:p>
        </w:tc>
        <w:tc>
          <w:tcPr>
            <w:tcW w:w="679" w:type="pct"/>
            <w:noWrap/>
            <w:vAlign w:val="center"/>
          </w:tcPr>
          <w:p w14:paraId="5E998D2D">
            <w:pPr>
              <w:shd w:val="clear" w:color="auto"/>
              <w:jc w:val="center"/>
              <w:rPr>
                <w:rFonts w:ascii="宋体" w:hAnsi="宋体" w:cs="宋体"/>
                <w:bCs/>
                <w:color w:val="auto"/>
                <w:sz w:val="22"/>
                <w:szCs w:val="13"/>
                <w:highlight w:val="none"/>
              </w:rPr>
            </w:pPr>
          </w:p>
        </w:tc>
        <w:tc>
          <w:tcPr>
            <w:tcW w:w="746" w:type="pct"/>
            <w:noWrap/>
            <w:vAlign w:val="center"/>
          </w:tcPr>
          <w:p w14:paraId="4521B9DE">
            <w:pPr>
              <w:shd w:val="clear" w:color="auto"/>
              <w:jc w:val="center"/>
              <w:rPr>
                <w:rFonts w:ascii="宋体" w:hAnsi="宋体" w:cs="宋体"/>
                <w:bCs/>
                <w:color w:val="auto"/>
                <w:sz w:val="22"/>
                <w:szCs w:val="13"/>
                <w:highlight w:val="none"/>
              </w:rPr>
            </w:pPr>
          </w:p>
        </w:tc>
        <w:tc>
          <w:tcPr>
            <w:tcW w:w="635" w:type="pct"/>
            <w:noWrap/>
            <w:vAlign w:val="center"/>
          </w:tcPr>
          <w:p w14:paraId="0C10AD93">
            <w:pPr>
              <w:shd w:val="clear" w:color="auto"/>
              <w:jc w:val="center"/>
              <w:rPr>
                <w:rFonts w:ascii="宋体" w:hAnsi="宋体" w:cs="宋体"/>
                <w:bCs/>
                <w:color w:val="auto"/>
                <w:sz w:val="22"/>
                <w:szCs w:val="13"/>
                <w:highlight w:val="none"/>
              </w:rPr>
            </w:pPr>
          </w:p>
        </w:tc>
        <w:tc>
          <w:tcPr>
            <w:tcW w:w="635" w:type="pct"/>
            <w:noWrap/>
            <w:vAlign w:val="center"/>
          </w:tcPr>
          <w:p w14:paraId="307825A0">
            <w:pPr>
              <w:shd w:val="clear" w:color="auto"/>
              <w:jc w:val="center"/>
              <w:rPr>
                <w:rFonts w:ascii="宋体" w:hAnsi="宋体" w:cs="宋体"/>
                <w:bCs/>
                <w:color w:val="auto"/>
                <w:sz w:val="22"/>
                <w:szCs w:val="13"/>
                <w:highlight w:val="none"/>
              </w:rPr>
            </w:pPr>
          </w:p>
        </w:tc>
      </w:tr>
      <w:tr w14:paraId="2AFBB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1625" w:type="pct"/>
            <w:gridSpan w:val="2"/>
            <w:noWrap/>
            <w:vAlign w:val="center"/>
          </w:tcPr>
          <w:p w14:paraId="123D216E">
            <w:pPr>
              <w:shd w:val="clear" w:color="auto"/>
              <w:jc w:val="center"/>
              <w:rPr>
                <w:rFonts w:ascii="宋体" w:hAnsi="宋体" w:cs="宋体"/>
                <w:bCs/>
                <w:color w:val="auto"/>
                <w:sz w:val="22"/>
                <w:szCs w:val="13"/>
                <w:highlight w:val="none"/>
              </w:rPr>
            </w:pPr>
            <w:r>
              <w:rPr>
                <w:rFonts w:hint="eastAsia" w:ascii="宋体" w:hAnsi="宋体" w:cs="宋体"/>
                <w:bCs/>
                <w:color w:val="auto"/>
                <w:sz w:val="22"/>
                <w:szCs w:val="13"/>
                <w:highlight w:val="none"/>
              </w:rPr>
              <w:t>服务期限</w:t>
            </w:r>
          </w:p>
        </w:tc>
        <w:tc>
          <w:tcPr>
            <w:tcW w:w="635" w:type="pct"/>
            <w:noWrap/>
            <w:vAlign w:val="center"/>
          </w:tcPr>
          <w:p w14:paraId="36FC8B84">
            <w:pPr>
              <w:shd w:val="clear" w:color="auto"/>
              <w:jc w:val="center"/>
              <w:rPr>
                <w:rFonts w:ascii="宋体" w:hAnsi="宋体" w:cs="宋体"/>
                <w:bCs/>
                <w:color w:val="auto"/>
                <w:sz w:val="22"/>
                <w:szCs w:val="13"/>
                <w:highlight w:val="none"/>
              </w:rPr>
            </w:pPr>
          </w:p>
        </w:tc>
        <w:tc>
          <w:tcPr>
            <w:tcW w:w="2739" w:type="pct"/>
            <w:gridSpan w:val="5"/>
            <w:noWrap/>
            <w:vAlign w:val="center"/>
          </w:tcPr>
          <w:p w14:paraId="76353662">
            <w:pPr>
              <w:shd w:val="clear" w:color="auto"/>
              <w:jc w:val="center"/>
              <w:rPr>
                <w:rFonts w:ascii="宋体" w:hAnsi="宋体" w:cs="宋体"/>
                <w:bCs/>
                <w:color w:val="auto"/>
                <w:sz w:val="22"/>
                <w:szCs w:val="13"/>
                <w:highlight w:val="none"/>
              </w:rPr>
            </w:pPr>
          </w:p>
        </w:tc>
      </w:tr>
    </w:tbl>
    <w:p w14:paraId="7AC1F79B">
      <w:pPr>
        <w:shd w:val="clear" w:color="auto"/>
        <w:spacing w:line="400" w:lineRule="exact"/>
        <w:rPr>
          <w:b/>
          <w:bCs/>
          <w:color w:val="auto"/>
          <w:sz w:val="24"/>
          <w:highlight w:val="none"/>
        </w:rPr>
      </w:pPr>
      <w:r>
        <w:rPr>
          <w:rFonts w:hint="eastAsia"/>
          <w:b/>
          <w:bCs/>
          <w:color w:val="auto"/>
          <w:sz w:val="24"/>
          <w:highlight w:val="none"/>
        </w:rPr>
        <w:t>法定代表人或法定代表人授权代表签字或盖章：</w:t>
      </w:r>
    </w:p>
    <w:p w14:paraId="7BDE3924">
      <w:pPr>
        <w:shd w:val="clear" w:color="auto"/>
        <w:spacing w:line="400" w:lineRule="exact"/>
        <w:ind w:firstLine="316"/>
        <w:outlineLvl w:val="0"/>
        <w:rPr>
          <w:rFonts w:hAnsi="宋体"/>
          <w:bCs/>
          <w:color w:val="auto"/>
          <w:sz w:val="24"/>
          <w:szCs w:val="16"/>
          <w:highlight w:val="none"/>
        </w:rPr>
      </w:pPr>
      <w:r>
        <w:rPr>
          <w:rFonts w:hint="eastAsia" w:hAnsi="宋体"/>
          <w:b/>
          <w:color w:val="auto"/>
          <w:sz w:val="24"/>
          <w:szCs w:val="16"/>
          <w:highlight w:val="none"/>
        </w:rPr>
        <w:t>注：</w:t>
      </w:r>
      <w:r>
        <w:rPr>
          <w:rFonts w:hint="eastAsia" w:hAnsi="宋体"/>
          <w:bCs/>
          <w:color w:val="auto"/>
          <w:sz w:val="24"/>
          <w:szCs w:val="16"/>
          <w:highlight w:val="none"/>
        </w:rPr>
        <w:t>（1）</w:t>
      </w:r>
      <w:r>
        <w:rPr>
          <w:rFonts w:hint="eastAsia" w:hAnsi="宋体"/>
          <w:bCs/>
          <w:color w:val="auto"/>
          <w:sz w:val="24"/>
          <w:szCs w:val="16"/>
          <w:highlight w:val="none"/>
          <w:lang w:eastAsia="zh-CN"/>
        </w:rPr>
        <w:t>供应商</w:t>
      </w:r>
      <w:r>
        <w:rPr>
          <w:rFonts w:hint="eastAsia" w:hAnsi="宋体"/>
          <w:bCs/>
          <w:color w:val="auto"/>
          <w:sz w:val="24"/>
          <w:szCs w:val="16"/>
          <w:highlight w:val="none"/>
        </w:rPr>
        <w:t>应当根据“项目技术要求和有关说明”的内容在上表中详细填写；</w:t>
      </w:r>
    </w:p>
    <w:p w14:paraId="108B94A8">
      <w:pPr>
        <w:shd w:val="clear" w:color="auto"/>
        <w:spacing w:line="400" w:lineRule="exact"/>
        <w:ind w:firstLine="315"/>
        <w:outlineLvl w:val="0"/>
        <w:rPr>
          <w:rFonts w:hAnsi="宋体"/>
          <w:bCs/>
          <w:color w:val="auto"/>
          <w:sz w:val="24"/>
          <w:szCs w:val="16"/>
          <w:highlight w:val="none"/>
        </w:rPr>
      </w:pPr>
      <w:r>
        <w:rPr>
          <w:rFonts w:hint="eastAsia" w:hAnsi="宋体"/>
          <w:bCs/>
          <w:color w:val="auto"/>
          <w:sz w:val="24"/>
          <w:szCs w:val="16"/>
          <w:highlight w:val="none"/>
        </w:rPr>
        <w:t>（2）表格不够可自行延长。</w:t>
      </w:r>
    </w:p>
    <w:p w14:paraId="384151E7">
      <w:pPr>
        <w:shd w:val="clear" w:color="auto"/>
        <w:spacing w:line="580" w:lineRule="exact"/>
        <w:rPr>
          <w:rFonts w:ascii="黑体" w:hAnsi="宋体" w:eastAsia="黑体"/>
          <w:bCs/>
          <w:color w:val="auto"/>
          <w:sz w:val="24"/>
          <w:highlight w:val="none"/>
        </w:rPr>
      </w:pPr>
    </w:p>
    <w:p w14:paraId="39C66CA2">
      <w:pPr>
        <w:shd w:val="clear" w:color="auto"/>
        <w:tabs>
          <w:tab w:val="left" w:pos="2317"/>
          <w:tab w:val="center" w:pos="4709"/>
        </w:tabs>
        <w:spacing w:line="400" w:lineRule="exact"/>
        <w:jc w:val="left"/>
        <w:rPr>
          <w:rFonts w:ascii="黑体" w:eastAsia="黑体"/>
          <w:bCs/>
          <w:color w:val="auto"/>
          <w:sz w:val="24"/>
          <w:highlight w:val="none"/>
        </w:rPr>
      </w:pPr>
      <w:r>
        <w:rPr>
          <w:rFonts w:hint="eastAsia" w:ascii="黑体" w:eastAsia="黑体"/>
          <w:bCs/>
          <w:color w:val="auto"/>
          <w:sz w:val="24"/>
          <w:highlight w:val="none"/>
        </w:rPr>
        <w:tab/>
      </w:r>
    </w:p>
    <w:p w14:paraId="76D40DCC">
      <w:pPr>
        <w:shd w:val="clear" w:color="auto"/>
        <w:rPr>
          <w:rFonts w:ascii="黑体" w:eastAsia="黑体"/>
          <w:bCs/>
          <w:color w:val="auto"/>
          <w:sz w:val="24"/>
          <w:highlight w:val="none"/>
        </w:rPr>
      </w:pPr>
      <w:r>
        <w:rPr>
          <w:rFonts w:hint="eastAsia" w:ascii="黑体" w:eastAsia="黑体"/>
          <w:bCs/>
          <w:color w:val="auto"/>
          <w:sz w:val="24"/>
          <w:highlight w:val="none"/>
        </w:rPr>
        <w:br w:type="page" w:clear="all"/>
      </w:r>
    </w:p>
    <w:p w14:paraId="3CB98CA8">
      <w:pPr>
        <w:shd w:val="clear" w:color="auto"/>
        <w:tabs>
          <w:tab w:val="left" w:pos="2317"/>
          <w:tab w:val="center" w:pos="4709"/>
        </w:tabs>
        <w:spacing w:line="400" w:lineRule="exact"/>
        <w:jc w:val="left"/>
        <w:rPr>
          <w:rFonts w:ascii="黑体" w:eastAsia="黑体"/>
          <w:bCs/>
          <w:color w:val="auto"/>
          <w:sz w:val="24"/>
          <w:highlight w:val="none"/>
        </w:rPr>
      </w:pPr>
      <w:r>
        <w:rPr>
          <w:rFonts w:hint="eastAsia" w:ascii="黑体" w:eastAsia="黑体"/>
          <w:bCs/>
          <w:color w:val="auto"/>
          <w:sz w:val="24"/>
          <w:highlight w:val="none"/>
        </w:rPr>
        <w:tab/>
      </w:r>
      <w:r>
        <w:rPr>
          <w:rFonts w:hint="eastAsia" w:ascii="黑体" w:eastAsia="黑体"/>
          <w:bCs/>
          <w:color w:val="auto"/>
          <w:sz w:val="24"/>
          <w:highlight w:val="none"/>
        </w:rPr>
        <w:t>（1）员工工资福利及法定计提费用明细表</w:t>
      </w:r>
    </w:p>
    <w:p w14:paraId="538DD85C">
      <w:pPr>
        <w:shd w:val="clear" w:color="auto"/>
        <w:spacing w:line="400" w:lineRule="exact"/>
        <w:jc w:val="center"/>
        <w:rPr>
          <w:rFonts w:hAnsi="宋体"/>
          <w:bCs/>
          <w:color w:val="auto"/>
          <w:sz w:val="24"/>
          <w:highlight w:val="none"/>
        </w:rPr>
      </w:pPr>
      <w:r>
        <w:rPr>
          <w:rFonts w:hint="eastAsia" w:ascii="黑体" w:eastAsia="黑体"/>
          <w:bCs/>
          <w:color w:val="auto"/>
          <w:sz w:val="24"/>
          <w:highlight w:val="none"/>
          <w:lang w:eastAsia="zh-CN"/>
        </w:rPr>
        <w:t>供应商</w:t>
      </w:r>
      <w:r>
        <w:rPr>
          <w:rFonts w:hint="eastAsia" w:ascii="黑体" w:eastAsia="黑体"/>
          <w:bCs/>
          <w:color w:val="auto"/>
          <w:sz w:val="24"/>
          <w:highlight w:val="none"/>
        </w:rPr>
        <w:t>名称（盖章）                                  采购项目编号：</w:t>
      </w:r>
    </w:p>
    <w:tbl>
      <w:tblPr>
        <w:tblStyle w:val="34"/>
        <w:tblW w:w="555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1188"/>
        <w:gridCol w:w="757"/>
        <w:gridCol w:w="1635"/>
        <w:gridCol w:w="1362"/>
        <w:gridCol w:w="1362"/>
        <w:gridCol w:w="1045"/>
        <w:gridCol w:w="1073"/>
        <w:gridCol w:w="1030"/>
      </w:tblGrid>
      <w:tr w14:paraId="10BEC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trPr>
        <w:tc>
          <w:tcPr>
            <w:tcW w:w="399" w:type="pct"/>
            <w:noWrap/>
            <w:vAlign w:val="center"/>
          </w:tcPr>
          <w:p w14:paraId="5086B409">
            <w:pPr>
              <w:shd w:val="clear" w:color="auto"/>
              <w:jc w:val="center"/>
              <w:rPr>
                <w:rFonts w:ascii="宋体" w:hAnsi="宋体" w:cs="宋体"/>
                <w:b/>
                <w:color w:val="auto"/>
                <w:sz w:val="24"/>
                <w:szCs w:val="16"/>
                <w:highlight w:val="none"/>
              </w:rPr>
            </w:pPr>
            <w:r>
              <w:rPr>
                <w:rFonts w:hint="eastAsia" w:ascii="宋体" w:hAnsi="宋体" w:cs="宋体"/>
                <w:b/>
                <w:color w:val="auto"/>
                <w:sz w:val="24"/>
                <w:szCs w:val="16"/>
                <w:highlight w:val="none"/>
              </w:rPr>
              <w:t>序号</w:t>
            </w:r>
          </w:p>
        </w:tc>
        <w:tc>
          <w:tcPr>
            <w:tcW w:w="578" w:type="pct"/>
            <w:noWrap/>
            <w:vAlign w:val="center"/>
          </w:tcPr>
          <w:p w14:paraId="19C6EBA5">
            <w:pPr>
              <w:shd w:val="clear" w:color="auto"/>
              <w:jc w:val="center"/>
              <w:rPr>
                <w:rFonts w:ascii="宋体" w:hAnsi="宋体" w:cs="宋体"/>
                <w:b/>
                <w:color w:val="auto"/>
                <w:sz w:val="24"/>
                <w:szCs w:val="16"/>
                <w:highlight w:val="none"/>
              </w:rPr>
            </w:pPr>
            <w:r>
              <w:rPr>
                <w:rFonts w:hint="eastAsia" w:ascii="宋体" w:hAnsi="宋体" w:cs="宋体"/>
                <w:b/>
                <w:color w:val="auto"/>
                <w:sz w:val="24"/>
                <w:szCs w:val="16"/>
                <w:highlight w:val="none"/>
              </w:rPr>
              <w:t>项目名称</w:t>
            </w:r>
          </w:p>
        </w:tc>
        <w:tc>
          <w:tcPr>
            <w:tcW w:w="368" w:type="pct"/>
            <w:noWrap/>
            <w:vAlign w:val="center"/>
          </w:tcPr>
          <w:p w14:paraId="3D389AD7">
            <w:pPr>
              <w:shd w:val="clear" w:color="auto"/>
              <w:jc w:val="center"/>
              <w:rPr>
                <w:rFonts w:ascii="宋体" w:hAnsi="宋体" w:cs="宋体"/>
                <w:b/>
                <w:color w:val="auto"/>
                <w:sz w:val="24"/>
                <w:szCs w:val="16"/>
                <w:highlight w:val="none"/>
              </w:rPr>
            </w:pPr>
            <w:r>
              <w:rPr>
                <w:rFonts w:hint="eastAsia" w:ascii="宋体" w:hAnsi="宋体" w:cs="宋体"/>
                <w:b/>
                <w:color w:val="auto"/>
                <w:sz w:val="24"/>
                <w:szCs w:val="16"/>
                <w:highlight w:val="none"/>
              </w:rPr>
              <w:t>人数配置</w:t>
            </w:r>
          </w:p>
        </w:tc>
        <w:tc>
          <w:tcPr>
            <w:tcW w:w="795" w:type="pct"/>
            <w:noWrap/>
            <w:vAlign w:val="center"/>
          </w:tcPr>
          <w:p w14:paraId="41AA486B">
            <w:pPr>
              <w:shd w:val="clear" w:color="auto"/>
              <w:jc w:val="center"/>
              <w:rPr>
                <w:rFonts w:ascii="宋体" w:hAnsi="宋体" w:cs="宋体"/>
                <w:b/>
                <w:color w:val="auto"/>
                <w:sz w:val="24"/>
                <w:szCs w:val="16"/>
                <w:highlight w:val="none"/>
              </w:rPr>
            </w:pPr>
            <w:r>
              <w:rPr>
                <w:rFonts w:hint="eastAsia" w:ascii="宋体" w:hAnsi="宋体" w:cs="宋体"/>
                <w:b/>
                <w:color w:val="auto"/>
                <w:sz w:val="24"/>
                <w:szCs w:val="16"/>
                <w:highlight w:val="none"/>
              </w:rPr>
              <w:t>人员费用标准（元/月）</w:t>
            </w:r>
          </w:p>
        </w:tc>
        <w:tc>
          <w:tcPr>
            <w:tcW w:w="662" w:type="pct"/>
            <w:noWrap/>
            <w:vAlign w:val="center"/>
          </w:tcPr>
          <w:p w14:paraId="75814B47">
            <w:pPr>
              <w:shd w:val="clear" w:color="auto"/>
              <w:jc w:val="center"/>
              <w:rPr>
                <w:rFonts w:ascii="宋体" w:hAnsi="宋体" w:cs="宋体"/>
                <w:b/>
                <w:color w:val="auto"/>
                <w:sz w:val="24"/>
                <w:szCs w:val="16"/>
                <w:highlight w:val="none"/>
              </w:rPr>
            </w:pPr>
            <w:r>
              <w:rPr>
                <w:rFonts w:hint="eastAsia" w:ascii="宋体" w:hAnsi="宋体" w:cs="宋体"/>
                <w:b/>
                <w:color w:val="auto"/>
                <w:sz w:val="24"/>
                <w:szCs w:val="16"/>
                <w:highlight w:val="none"/>
              </w:rPr>
              <w:t>合计费用（元/月）</w:t>
            </w:r>
          </w:p>
        </w:tc>
        <w:tc>
          <w:tcPr>
            <w:tcW w:w="662" w:type="pct"/>
            <w:noWrap/>
            <w:vAlign w:val="center"/>
          </w:tcPr>
          <w:p w14:paraId="5307D4BD">
            <w:pPr>
              <w:shd w:val="clear" w:color="auto"/>
              <w:jc w:val="center"/>
              <w:rPr>
                <w:rFonts w:ascii="宋体" w:hAnsi="宋体" w:cs="宋体"/>
                <w:b/>
                <w:color w:val="auto"/>
                <w:sz w:val="24"/>
                <w:szCs w:val="16"/>
                <w:highlight w:val="none"/>
              </w:rPr>
            </w:pPr>
            <w:r>
              <w:rPr>
                <w:rFonts w:hint="eastAsia" w:ascii="宋体" w:hAnsi="宋体" w:cs="宋体"/>
                <w:b/>
                <w:color w:val="auto"/>
                <w:sz w:val="24"/>
                <w:szCs w:val="16"/>
                <w:highlight w:val="none"/>
              </w:rPr>
              <w:t>合计费用（元/年）</w:t>
            </w:r>
          </w:p>
        </w:tc>
        <w:tc>
          <w:tcPr>
            <w:tcW w:w="508" w:type="pct"/>
            <w:noWrap/>
            <w:vAlign w:val="center"/>
          </w:tcPr>
          <w:p w14:paraId="6EF31561">
            <w:pPr>
              <w:shd w:val="clear" w:color="auto"/>
              <w:jc w:val="center"/>
              <w:rPr>
                <w:rFonts w:ascii="宋体" w:hAnsi="宋体" w:cs="宋体"/>
                <w:b/>
                <w:color w:val="auto"/>
                <w:sz w:val="24"/>
                <w:szCs w:val="16"/>
                <w:highlight w:val="none"/>
              </w:rPr>
            </w:pPr>
            <w:r>
              <w:rPr>
                <w:rFonts w:hint="eastAsia" w:ascii="宋体" w:hAnsi="宋体" w:cs="宋体"/>
                <w:b/>
                <w:color w:val="auto"/>
                <w:sz w:val="24"/>
                <w:szCs w:val="16"/>
                <w:highlight w:val="none"/>
              </w:rPr>
              <w:t>合计费用（元/2年）</w:t>
            </w:r>
          </w:p>
        </w:tc>
        <w:tc>
          <w:tcPr>
            <w:tcW w:w="522" w:type="pct"/>
            <w:noWrap/>
            <w:vAlign w:val="center"/>
          </w:tcPr>
          <w:p w14:paraId="1B12D9C8">
            <w:pPr>
              <w:shd w:val="clear" w:color="auto"/>
              <w:jc w:val="center"/>
              <w:rPr>
                <w:rFonts w:hint="eastAsia" w:ascii="宋体" w:hAnsi="宋体" w:cs="宋体"/>
                <w:b/>
                <w:color w:val="auto"/>
                <w:sz w:val="24"/>
                <w:szCs w:val="16"/>
                <w:highlight w:val="none"/>
              </w:rPr>
            </w:pPr>
            <w:r>
              <w:rPr>
                <w:rFonts w:hint="eastAsia" w:ascii="宋体" w:hAnsi="宋体" w:cs="宋体"/>
                <w:b/>
                <w:color w:val="auto"/>
                <w:sz w:val="24"/>
                <w:szCs w:val="16"/>
                <w:highlight w:val="none"/>
              </w:rPr>
              <w:t>合计费用（元/</w:t>
            </w:r>
            <w:r>
              <w:rPr>
                <w:rFonts w:hint="eastAsia" w:ascii="宋体" w:hAnsi="宋体" w:cs="宋体"/>
                <w:b/>
                <w:color w:val="auto"/>
                <w:sz w:val="24"/>
                <w:szCs w:val="16"/>
                <w:highlight w:val="none"/>
                <w:lang w:val="en-US" w:eastAsia="zh-CN"/>
              </w:rPr>
              <w:t>3</w:t>
            </w:r>
            <w:r>
              <w:rPr>
                <w:rFonts w:hint="eastAsia" w:ascii="宋体" w:hAnsi="宋体" w:cs="宋体"/>
                <w:b/>
                <w:color w:val="auto"/>
                <w:sz w:val="24"/>
                <w:szCs w:val="16"/>
                <w:highlight w:val="none"/>
              </w:rPr>
              <w:t>年）</w:t>
            </w:r>
          </w:p>
        </w:tc>
        <w:tc>
          <w:tcPr>
            <w:tcW w:w="501" w:type="pct"/>
            <w:noWrap/>
            <w:vAlign w:val="center"/>
          </w:tcPr>
          <w:p w14:paraId="1BDE101E">
            <w:pPr>
              <w:shd w:val="clear" w:color="auto"/>
              <w:jc w:val="center"/>
              <w:rPr>
                <w:rFonts w:ascii="宋体" w:hAnsi="宋体" w:cs="宋体"/>
                <w:b/>
                <w:color w:val="auto"/>
                <w:sz w:val="24"/>
                <w:szCs w:val="16"/>
                <w:highlight w:val="none"/>
              </w:rPr>
            </w:pPr>
            <w:r>
              <w:rPr>
                <w:rFonts w:hint="eastAsia" w:ascii="宋体" w:hAnsi="宋体" w:cs="宋体"/>
                <w:b/>
                <w:color w:val="auto"/>
                <w:sz w:val="24"/>
                <w:szCs w:val="16"/>
                <w:highlight w:val="none"/>
              </w:rPr>
              <w:t>备注</w:t>
            </w:r>
          </w:p>
        </w:tc>
      </w:tr>
      <w:tr w14:paraId="60166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noWrap/>
            <w:vAlign w:val="center"/>
          </w:tcPr>
          <w:p w14:paraId="39E4B6F0">
            <w:pPr>
              <w:shd w:val="clear" w:color="auto"/>
              <w:jc w:val="center"/>
              <w:rPr>
                <w:rFonts w:ascii="宋体" w:hAnsi="宋体" w:cs="宋体"/>
                <w:b/>
                <w:color w:val="auto"/>
                <w:sz w:val="24"/>
                <w:szCs w:val="15"/>
                <w:highlight w:val="none"/>
              </w:rPr>
            </w:pPr>
            <w:r>
              <w:rPr>
                <w:rFonts w:hint="eastAsia" w:ascii="宋体" w:hAnsi="宋体" w:cs="宋体"/>
                <w:b/>
                <w:color w:val="auto"/>
                <w:sz w:val="24"/>
                <w:szCs w:val="15"/>
                <w:highlight w:val="none"/>
              </w:rPr>
              <w:t>1</w:t>
            </w:r>
          </w:p>
        </w:tc>
        <w:tc>
          <w:tcPr>
            <w:tcW w:w="578" w:type="pct"/>
            <w:noWrap/>
            <w:vAlign w:val="center"/>
          </w:tcPr>
          <w:p w14:paraId="07738832">
            <w:pPr>
              <w:shd w:val="clear" w:color="auto"/>
              <w:rPr>
                <w:rFonts w:ascii="宋体" w:hAnsi="宋体" w:cs="宋体"/>
                <w:b/>
                <w:color w:val="auto"/>
                <w:sz w:val="24"/>
                <w:szCs w:val="15"/>
                <w:highlight w:val="none"/>
              </w:rPr>
            </w:pPr>
            <w:r>
              <w:rPr>
                <w:rFonts w:hint="eastAsia" w:ascii="宋体" w:hAnsi="宋体" w:cs="宋体"/>
                <w:b/>
                <w:color w:val="auto"/>
                <w:sz w:val="24"/>
                <w:szCs w:val="15"/>
                <w:highlight w:val="none"/>
              </w:rPr>
              <w:t>员工工资及福利</w:t>
            </w:r>
          </w:p>
        </w:tc>
        <w:tc>
          <w:tcPr>
            <w:tcW w:w="368" w:type="pct"/>
            <w:noWrap/>
            <w:vAlign w:val="center"/>
          </w:tcPr>
          <w:p w14:paraId="15C127B4">
            <w:pPr>
              <w:shd w:val="clear" w:color="auto"/>
              <w:jc w:val="center"/>
              <w:rPr>
                <w:rFonts w:ascii="宋体" w:hAnsi="宋体" w:cs="宋体"/>
                <w:color w:val="auto"/>
                <w:sz w:val="24"/>
                <w:szCs w:val="15"/>
                <w:highlight w:val="none"/>
              </w:rPr>
            </w:pPr>
          </w:p>
        </w:tc>
        <w:tc>
          <w:tcPr>
            <w:tcW w:w="795" w:type="pct"/>
            <w:noWrap/>
            <w:vAlign w:val="center"/>
          </w:tcPr>
          <w:p w14:paraId="00C79893">
            <w:pPr>
              <w:shd w:val="clear" w:color="auto"/>
              <w:jc w:val="center"/>
              <w:rPr>
                <w:rFonts w:ascii="宋体" w:hAnsi="宋体" w:cs="宋体"/>
                <w:color w:val="auto"/>
                <w:sz w:val="24"/>
                <w:szCs w:val="15"/>
                <w:highlight w:val="none"/>
              </w:rPr>
            </w:pPr>
          </w:p>
        </w:tc>
        <w:tc>
          <w:tcPr>
            <w:tcW w:w="662" w:type="pct"/>
            <w:noWrap/>
            <w:vAlign w:val="center"/>
          </w:tcPr>
          <w:p w14:paraId="2E3B8B99">
            <w:pPr>
              <w:shd w:val="clear" w:color="auto"/>
              <w:jc w:val="center"/>
              <w:rPr>
                <w:rFonts w:ascii="宋体" w:hAnsi="宋体" w:cs="宋体"/>
                <w:color w:val="auto"/>
                <w:sz w:val="24"/>
                <w:szCs w:val="15"/>
                <w:highlight w:val="none"/>
              </w:rPr>
            </w:pPr>
          </w:p>
        </w:tc>
        <w:tc>
          <w:tcPr>
            <w:tcW w:w="662" w:type="pct"/>
            <w:noWrap/>
            <w:vAlign w:val="center"/>
          </w:tcPr>
          <w:p w14:paraId="364EC2BE">
            <w:pPr>
              <w:shd w:val="clear" w:color="auto"/>
              <w:jc w:val="center"/>
              <w:rPr>
                <w:rFonts w:ascii="宋体" w:hAnsi="宋体" w:cs="宋体"/>
                <w:color w:val="auto"/>
                <w:sz w:val="24"/>
                <w:szCs w:val="15"/>
                <w:highlight w:val="none"/>
              </w:rPr>
            </w:pPr>
          </w:p>
        </w:tc>
        <w:tc>
          <w:tcPr>
            <w:tcW w:w="508" w:type="pct"/>
            <w:noWrap/>
            <w:vAlign w:val="center"/>
          </w:tcPr>
          <w:p w14:paraId="1F54A689">
            <w:pPr>
              <w:shd w:val="clear" w:color="auto"/>
              <w:jc w:val="center"/>
              <w:rPr>
                <w:rFonts w:ascii="宋体" w:hAnsi="宋体" w:cs="宋体"/>
                <w:color w:val="auto"/>
                <w:sz w:val="24"/>
                <w:szCs w:val="15"/>
                <w:highlight w:val="none"/>
              </w:rPr>
            </w:pPr>
          </w:p>
        </w:tc>
        <w:tc>
          <w:tcPr>
            <w:tcW w:w="522" w:type="pct"/>
            <w:noWrap/>
            <w:vAlign w:val="center"/>
          </w:tcPr>
          <w:p w14:paraId="0FC8BC0C">
            <w:pPr>
              <w:shd w:val="clear" w:color="auto"/>
              <w:jc w:val="center"/>
              <w:rPr>
                <w:rFonts w:ascii="宋体" w:hAnsi="宋体" w:cs="宋体"/>
                <w:color w:val="auto"/>
                <w:sz w:val="24"/>
                <w:szCs w:val="15"/>
                <w:highlight w:val="none"/>
              </w:rPr>
            </w:pPr>
          </w:p>
        </w:tc>
        <w:tc>
          <w:tcPr>
            <w:tcW w:w="501" w:type="pct"/>
            <w:noWrap/>
            <w:vAlign w:val="center"/>
          </w:tcPr>
          <w:p w14:paraId="155E447C">
            <w:pPr>
              <w:shd w:val="clear" w:color="auto"/>
              <w:jc w:val="center"/>
              <w:rPr>
                <w:rFonts w:ascii="宋体" w:hAnsi="宋体" w:cs="宋体"/>
                <w:color w:val="auto"/>
                <w:sz w:val="24"/>
                <w:szCs w:val="15"/>
                <w:highlight w:val="none"/>
              </w:rPr>
            </w:pPr>
          </w:p>
        </w:tc>
      </w:tr>
      <w:tr w14:paraId="7B814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99" w:type="pct"/>
            <w:noWrap/>
            <w:vAlign w:val="center"/>
          </w:tcPr>
          <w:p w14:paraId="0E783043">
            <w:pPr>
              <w:shd w:val="clear" w:color="auto"/>
              <w:jc w:val="center"/>
              <w:rPr>
                <w:rFonts w:ascii="宋体" w:hAnsi="宋体" w:cs="宋体"/>
                <w:color w:val="auto"/>
                <w:sz w:val="24"/>
                <w:szCs w:val="15"/>
                <w:highlight w:val="none"/>
              </w:rPr>
            </w:pPr>
            <w:r>
              <w:rPr>
                <w:rFonts w:hint="eastAsia" w:ascii="宋体" w:hAnsi="宋体" w:cs="宋体"/>
                <w:color w:val="auto"/>
                <w:sz w:val="24"/>
                <w:szCs w:val="15"/>
                <w:highlight w:val="none"/>
              </w:rPr>
              <w:t>（1）</w:t>
            </w:r>
          </w:p>
        </w:tc>
        <w:tc>
          <w:tcPr>
            <w:tcW w:w="578" w:type="pct"/>
            <w:noWrap/>
            <w:vAlign w:val="center"/>
          </w:tcPr>
          <w:p w14:paraId="39D3EA66">
            <w:pPr>
              <w:shd w:val="clear" w:color="auto"/>
              <w:jc w:val="center"/>
              <w:rPr>
                <w:rFonts w:ascii="宋体" w:hAnsi="宋体" w:cs="宋体"/>
                <w:color w:val="auto"/>
                <w:sz w:val="24"/>
                <w:szCs w:val="15"/>
                <w:highlight w:val="none"/>
              </w:rPr>
            </w:pPr>
            <w:r>
              <w:rPr>
                <w:rFonts w:hint="eastAsia" w:ascii="宋体" w:hAnsi="宋体" w:cs="宋体"/>
                <w:color w:val="auto"/>
                <w:sz w:val="24"/>
                <w:szCs w:val="15"/>
                <w:highlight w:val="none"/>
              </w:rPr>
              <w:t>项目经理</w:t>
            </w:r>
          </w:p>
        </w:tc>
        <w:tc>
          <w:tcPr>
            <w:tcW w:w="368" w:type="pct"/>
            <w:noWrap/>
            <w:vAlign w:val="center"/>
          </w:tcPr>
          <w:p w14:paraId="2A891D5A">
            <w:pPr>
              <w:shd w:val="clear" w:color="auto"/>
              <w:jc w:val="center"/>
              <w:rPr>
                <w:rFonts w:ascii="宋体" w:hAnsi="宋体" w:cs="宋体"/>
                <w:color w:val="auto"/>
                <w:sz w:val="24"/>
                <w:szCs w:val="15"/>
                <w:highlight w:val="none"/>
              </w:rPr>
            </w:pPr>
          </w:p>
        </w:tc>
        <w:tc>
          <w:tcPr>
            <w:tcW w:w="795" w:type="pct"/>
            <w:noWrap/>
            <w:vAlign w:val="center"/>
          </w:tcPr>
          <w:p w14:paraId="339FA9E8">
            <w:pPr>
              <w:shd w:val="clear" w:color="auto"/>
              <w:jc w:val="center"/>
              <w:rPr>
                <w:rFonts w:ascii="宋体" w:hAnsi="宋体" w:cs="宋体"/>
                <w:color w:val="auto"/>
                <w:sz w:val="24"/>
                <w:szCs w:val="15"/>
                <w:highlight w:val="none"/>
              </w:rPr>
            </w:pPr>
          </w:p>
        </w:tc>
        <w:tc>
          <w:tcPr>
            <w:tcW w:w="662" w:type="pct"/>
            <w:noWrap/>
            <w:vAlign w:val="center"/>
          </w:tcPr>
          <w:p w14:paraId="269B2677">
            <w:pPr>
              <w:shd w:val="clear" w:color="auto"/>
              <w:jc w:val="center"/>
              <w:rPr>
                <w:rFonts w:ascii="宋体" w:hAnsi="宋体" w:cs="宋体"/>
                <w:color w:val="auto"/>
                <w:sz w:val="24"/>
                <w:szCs w:val="15"/>
                <w:highlight w:val="none"/>
              </w:rPr>
            </w:pPr>
          </w:p>
        </w:tc>
        <w:tc>
          <w:tcPr>
            <w:tcW w:w="662" w:type="pct"/>
            <w:noWrap/>
            <w:vAlign w:val="center"/>
          </w:tcPr>
          <w:p w14:paraId="707292A8">
            <w:pPr>
              <w:shd w:val="clear" w:color="auto"/>
              <w:jc w:val="center"/>
              <w:rPr>
                <w:rFonts w:ascii="宋体" w:hAnsi="宋体" w:cs="宋体"/>
                <w:color w:val="auto"/>
                <w:sz w:val="24"/>
                <w:szCs w:val="15"/>
                <w:highlight w:val="none"/>
              </w:rPr>
            </w:pPr>
          </w:p>
        </w:tc>
        <w:tc>
          <w:tcPr>
            <w:tcW w:w="508" w:type="pct"/>
            <w:noWrap/>
            <w:vAlign w:val="center"/>
          </w:tcPr>
          <w:p w14:paraId="34C2D062">
            <w:pPr>
              <w:shd w:val="clear" w:color="auto"/>
              <w:jc w:val="center"/>
              <w:rPr>
                <w:rFonts w:ascii="宋体" w:hAnsi="宋体" w:cs="宋体"/>
                <w:color w:val="auto"/>
                <w:sz w:val="24"/>
                <w:szCs w:val="15"/>
                <w:highlight w:val="none"/>
              </w:rPr>
            </w:pPr>
          </w:p>
        </w:tc>
        <w:tc>
          <w:tcPr>
            <w:tcW w:w="522" w:type="pct"/>
            <w:noWrap/>
            <w:vAlign w:val="center"/>
          </w:tcPr>
          <w:p w14:paraId="5AEC7A24">
            <w:pPr>
              <w:shd w:val="clear" w:color="auto"/>
              <w:jc w:val="center"/>
              <w:rPr>
                <w:rFonts w:ascii="宋体" w:hAnsi="宋体" w:cs="宋体"/>
                <w:color w:val="auto"/>
                <w:sz w:val="24"/>
                <w:szCs w:val="15"/>
                <w:highlight w:val="none"/>
              </w:rPr>
            </w:pPr>
          </w:p>
        </w:tc>
        <w:tc>
          <w:tcPr>
            <w:tcW w:w="501" w:type="pct"/>
            <w:noWrap/>
            <w:vAlign w:val="center"/>
          </w:tcPr>
          <w:p w14:paraId="75C7BFEE">
            <w:pPr>
              <w:shd w:val="clear" w:color="auto"/>
              <w:jc w:val="center"/>
              <w:rPr>
                <w:rFonts w:ascii="宋体" w:hAnsi="宋体" w:cs="宋体"/>
                <w:color w:val="auto"/>
                <w:sz w:val="24"/>
                <w:szCs w:val="15"/>
                <w:highlight w:val="none"/>
              </w:rPr>
            </w:pPr>
          </w:p>
        </w:tc>
      </w:tr>
      <w:tr w14:paraId="7DD81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99" w:type="pct"/>
            <w:noWrap/>
            <w:vAlign w:val="center"/>
          </w:tcPr>
          <w:p w14:paraId="39F4245A">
            <w:pPr>
              <w:shd w:val="clear" w:color="auto"/>
              <w:jc w:val="center"/>
              <w:rPr>
                <w:rFonts w:ascii="宋体" w:hAnsi="宋体" w:cs="宋体"/>
                <w:color w:val="auto"/>
                <w:sz w:val="24"/>
                <w:szCs w:val="15"/>
                <w:highlight w:val="none"/>
              </w:rPr>
            </w:pPr>
            <w:r>
              <w:rPr>
                <w:rFonts w:hint="eastAsia" w:ascii="宋体" w:hAnsi="宋体" w:cs="宋体"/>
                <w:color w:val="auto"/>
                <w:sz w:val="24"/>
                <w:szCs w:val="15"/>
                <w:highlight w:val="none"/>
              </w:rPr>
              <w:t>（2）</w:t>
            </w:r>
          </w:p>
        </w:tc>
        <w:tc>
          <w:tcPr>
            <w:tcW w:w="578" w:type="pct"/>
            <w:noWrap/>
            <w:vAlign w:val="center"/>
          </w:tcPr>
          <w:p w14:paraId="4BBD15FE">
            <w:pPr>
              <w:shd w:val="clear" w:color="auto"/>
              <w:jc w:val="center"/>
              <w:rPr>
                <w:rFonts w:ascii="宋体" w:hAnsi="宋体" w:cs="宋体"/>
                <w:color w:val="auto"/>
                <w:sz w:val="24"/>
                <w:szCs w:val="15"/>
                <w:highlight w:val="none"/>
              </w:rPr>
            </w:pPr>
            <w:r>
              <w:rPr>
                <w:rFonts w:hint="eastAsia" w:ascii="宋体" w:hAnsi="宋体" w:cs="宋体"/>
                <w:color w:val="auto"/>
                <w:sz w:val="24"/>
                <w:szCs w:val="15"/>
                <w:highlight w:val="none"/>
                <w:lang w:val="en-US" w:eastAsia="zh-CN"/>
              </w:rPr>
              <w:t>其他</w:t>
            </w:r>
            <w:r>
              <w:rPr>
                <w:rFonts w:hint="eastAsia" w:ascii="宋体" w:hAnsi="宋体" w:cs="宋体"/>
                <w:color w:val="auto"/>
                <w:sz w:val="24"/>
                <w:szCs w:val="15"/>
                <w:highlight w:val="none"/>
              </w:rPr>
              <w:t>人员</w:t>
            </w:r>
          </w:p>
        </w:tc>
        <w:tc>
          <w:tcPr>
            <w:tcW w:w="368" w:type="pct"/>
            <w:noWrap/>
            <w:vAlign w:val="center"/>
          </w:tcPr>
          <w:p w14:paraId="3B21FC1F">
            <w:pPr>
              <w:shd w:val="clear" w:color="auto"/>
              <w:jc w:val="center"/>
              <w:rPr>
                <w:rFonts w:ascii="宋体" w:hAnsi="宋体" w:cs="宋体"/>
                <w:color w:val="auto"/>
                <w:sz w:val="24"/>
                <w:szCs w:val="15"/>
                <w:highlight w:val="none"/>
              </w:rPr>
            </w:pPr>
          </w:p>
        </w:tc>
        <w:tc>
          <w:tcPr>
            <w:tcW w:w="795" w:type="pct"/>
            <w:noWrap/>
            <w:vAlign w:val="center"/>
          </w:tcPr>
          <w:p w14:paraId="16CE43B9">
            <w:pPr>
              <w:shd w:val="clear" w:color="auto"/>
              <w:jc w:val="center"/>
              <w:rPr>
                <w:rFonts w:ascii="宋体" w:hAnsi="宋体" w:cs="宋体"/>
                <w:color w:val="auto"/>
                <w:sz w:val="24"/>
                <w:szCs w:val="15"/>
                <w:highlight w:val="none"/>
              </w:rPr>
            </w:pPr>
          </w:p>
        </w:tc>
        <w:tc>
          <w:tcPr>
            <w:tcW w:w="662" w:type="pct"/>
            <w:noWrap/>
            <w:vAlign w:val="center"/>
          </w:tcPr>
          <w:p w14:paraId="396FA8F4">
            <w:pPr>
              <w:shd w:val="clear" w:color="auto"/>
              <w:jc w:val="center"/>
              <w:rPr>
                <w:rFonts w:ascii="宋体" w:hAnsi="宋体" w:cs="宋体"/>
                <w:color w:val="auto"/>
                <w:sz w:val="24"/>
                <w:szCs w:val="15"/>
                <w:highlight w:val="none"/>
              </w:rPr>
            </w:pPr>
          </w:p>
        </w:tc>
        <w:tc>
          <w:tcPr>
            <w:tcW w:w="662" w:type="pct"/>
            <w:noWrap/>
            <w:vAlign w:val="center"/>
          </w:tcPr>
          <w:p w14:paraId="7FD4BA8F">
            <w:pPr>
              <w:shd w:val="clear" w:color="auto"/>
              <w:jc w:val="center"/>
              <w:rPr>
                <w:rFonts w:ascii="宋体" w:hAnsi="宋体" w:cs="宋体"/>
                <w:color w:val="auto"/>
                <w:sz w:val="24"/>
                <w:szCs w:val="15"/>
                <w:highlight w:val="none"/>
              </w:rPr>
            </w:pPr>
          </w:p>
        </w:tc>
        <w:tc>
          <w:tcPr>
            <w:tcW w:w="508" w:type="pct"/>
            <w:noWrap/>
            <w:vAlign w:val="center"/>
          </w:tcPr>
          <w:p w14:paraId="41806709">
            <w:pPr>
              <w:shd w:val="clear" w:color="auto"/>
              <w:ind w:firstLine="75"/>
              <w:rPr>
                <w:rFonts w:ascii="宋体" w:hAnsi="宋体" w:cs="宋体"/>
                <w:color w:val="auto"/>
                <w:sz w:val="10"/>
                <w:szCs w:val="10"/>
                <w:highlight w:val="none"/>
              </w:rPr>
            </w:pPr>
          </w:p>
        </w:tc>
        <w:tc>
          <w:tcPr>
            <w:tcW w:w="522" w:type="pct"/>
            <w:noWrap/>
            <w:vAlign w:val="center"/>
          </w:tcPr>
          <w:p w14:paraId="1D4006B7">
            <w:pPr>
              <w:shd w:val="clear" w:color="auto"/>
              <w:ind w:firstLine="75"/>
              <w:rPr>
                <w:rFonts w:hint="eastAsia" w:ascii="宋体" w:hAnsi="宋体" w:cs="宋体"/>
                <w:color w:val="auto"/>
                <w:sz w:val="10"/>
                <w:szCs w:val="10"/>
                <w:highlight w:val="none"/>
              </w:rPr>
            </w:pPr>
          </w:p>
        </w:tc>
        <w:tc>
          <w:tcPr>
            <w:tcW w:w="501" w:type="pct"/>
            <w:noWrap/>
            <w:vAlign w:val="center"/>
          </w:tcPr>
          <w:p w14:paraId="4FFDA653">
            <w:pPr>
              <w:shd w:val="clear" w:color="auto"/>
              <w:ind w:firstLine="75"/>
              <w:rPr>
                <w:rFonts w:ascii="宋体" w:hAnsi="宋体" w:cs="宋体"/>
                <w:color w:val="auto"/>
                <w:sz w:val="24"/>
                <w:szCs w:val="24"/>
                <w:highlight w:val="none"/>
              </w:rPr>
            </w:pPr>
          </w:p>
        </w:tc>
      </w:tr>
      <w:tr w14:paraId="35330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99" w:type="pct"/>
            <w:noWrap/>
            <w:vAlign w:val="center"/>
          </w:tcPr>
          <w:p w14:paraId="16592DBB">
            <w:pPr>
              <w:shd w:val="clear" w:color="auto"/>
              <w:jc w:val="center"/>
              <w:rPr>
                <w:rFonts w:ascii="宋体" w:hAnsi="宋体" w:cs="宋体"/>
                <w:color w:val="auto"/>
                <w:sz w:val="24"/>
                <w:szCs w:val="15"/>
                <w:highlight w:val="none"/>
              </w:rPr>
            </w:pPr>
            <w:r>
              <w:rPr>
                <w:rFonts w:hint="eastAsia" w:ascii="宋体" w:hAnsi="宋体" w:cs="宋体"/>
                <w:color w:val="auto"/>
                <w:sz w:val="24"/>
                <w:szCs w:val="15"/>
                <w:highlight w:val="none"/>
              </w:rPr>
              <w:t>（3）</w:t>
            </w:r>
          </w:p>
        </w:tc>
        <w:tc>
          <w:tcPr>
            <w:tcW w:w="578" w:type="pct"/>
            <w:noWrap/>
            <w:vAlign w:val="center"/>
          </w:tcPr>
          <w:p w14:paraId="1207F7DA">
            <w:pPr>
              <w:shd w:val="clear" w:color="auto"/>
              <w:jc w:val="center"/>
              <w:rPr>
                <w:rFonts w:ascii="宋体" w:hAnsi="宋体" w:cs="宋体"/>
                <w:color w:val="auto"/>
                <w:sz w:val="24"/>
                <w:szCs w:val="15"/>
                <w:highlight w:val="none"/>
              </w:rPr>
            </w:pPr>
            <w:r>
              <w:rPr>
                <w:rFonts w:hint="eastAsia" w:ascii="宋体" w:hAnsi="宋体" w:cs="宋体"/>
                <w:color w:val="auto"/>
                <w:sz w:val="24"/>
                <w:szCs w:val="15"/>
                <w:highlight w:val="none"/>
              </w:rPr>
              <w:t>员工人身意外保险费</w:t>
            </w:r>
          </w:p>
        </w:tc>
        <w:tc>
          <w:tcPr>
            <w:tcW w:w="368" w:type="pct"/>
            <w:noWrap/>
            <w:vAlign w:val="center"/>
          </w:tcPr>
          <w:p w14:paraId="6D3C3256">
            <w:pPr>
              <w:shd w:val="clear" w:color="auto"/>
              <w:jc w:val="center"/>
              <w:rPr>
                <w:rFonts w:ascii="宋体" w:hAnsi="宋体" w:cs="宋体"/>
                <w:color w:val="auto"/>
                <w:sz w:val="24"/>
                <w:szCs w:val="15"/>
                <w:highlight w:val="none"/>
              </w:rPr>
            </w:pPr>
          </w:p>
        </w:tc>
        <w:tc>
          <w:tcPr>
            <w:tcW w:w="795" w:type="pct"/>
            <w:noWrap/>
            <w:vAlign w:val="center"/>
          </w:tcPr>
          <w:p w14:paraId="7723337E">
            <w:pPr>
              <w:shd w:val="clear" w:color="auto"/>
              <w:jc w:val="center"/>
              <w:rPr>
                <w:rFonts w:ascii="宋体" w:hAnsi="宋体" w:cs="宋体"/>
                <w:color w:val="auto"/>
                <w:sz w:val="24"/>
                <w:szCs w:val="15"/>
                <w:highlight w:val="none"/>
              </w:rPr>
            </w:pPr>
          </w:p>
        </w:tc>
        <w:tc>
          <w:tcPr>
            <w:tcW w:w="662" w:type="pct"/>
            <w:noWrap/>
            <w:vAlign w:val="center"/>
          </w:tcPr>
          <w:p w14:paraId="24210E62">
            <w:pPr>
              <w:shd w:val="clear" w:color="auto"/>
              <w:jc w:val="center"/>
              <w:rPr>
                <w:rFonts w:ascii="宋体" w:hAnsi="宋体" w:cs="宋体"/>
                <w:color w:val="auto"/>
                <w:sz w:val="24"/>
                <w:szCs w:val="15"/>
                <w:highlight w:val="none"/>
              </w:rPr>
            </w:pPr>
          </w:p>
        </w:tc>
        <w:tc>
          <w:tcPr>
            <w:tcW w:w="662" w:type="pct"/>
            <w:noWrap/>
            <w:vAlign w:val="center"/>
          </w:tcPr>
          <w:p w14:paraId="23CA2E8B">
            <w:pPr>
              <w:shd w:val="clear" w:color="auto"/>
              <w:jc w:val="center"/>
              <w:rPr>
                <w:rFonts w:ascii="宋体" w:hAnsi="宋体" w:cs="宋体"/>
                <w:color w:val="auto"/>
                <w:sz w:val="24"/>
                <w:szCs w:val="15"/>
                <w:highlight w:val="none"/>
              </w:rPr>
            </w:pPr>
          </w:p>
        </w:tc>
        <w:tc>
          <w:tcPr>
            <w:tcW w:w="508" w:type="pct"/>
            <w:noWrap/>
            <w:vAlign w:val="center"/>
          </w:tcPr>
          <w:p w14:paraId="5A5C6CB3">
            <w:pPr>
              <w:shd w:val="clear" w:color="auto"/>
              <w:jc w:val="center"/>
              <w:rPr>
                <w:rFonts w:ascii="宋体" w:hAnsi="宋体" w:cs="宋体"/>
                <w:color w:val="auto"/>
                <w:sz w:val="10"/>
                <w:szCs w:val="10"/>
                <w:highlight w:val="none"/>
              </w:rPr>
            </w:pPr>
          </w:p>
        </w:tc>
        <w:tc>
          <w:tcPr>
            <w:tcW w:w="522" w:type="pct"/>
            <w:noWrap/>
            <w:vAlign w:val="center"/>
          </w:tcPr>
          <w:p w14:paraId="0737457A">
            <w:pPr>
              <w:shd w:val="clear" w:color="auto"/>
              <w:jc w:val="center"/>
              <w:rPr>
                <w:rFonts w:hint="eastAsia" w:ascii="宋体" w:hAnsi="宋体" w:cs="宋体"/>
                <w:color w:val="auto"/>
                <w:sz w:val="10"/>
                <w:szCs w:val="10"/>
                <w:highlight w:val="none"/>
              </w:rPr>
            </w:pPr>
          </w:p>
        </w:tc>
        <w:tc>
          <w:tcPr>
            <w:tcW w:w="501" w:type="pct"/>
            <w:noWrap/>
            <w:vAlign w:val="center"/>
          </w:tcPr>
          <w:p w14:paraId="70F2E996">
            <w:pPr>
              <w:shd w:val="clear" w:color="auto"/>
              <w:jc w:val="center"/>
              <w:rPr>
                <w:rFonts w:ascii="宋体" w:hAnsi="宋体" w:cs="宋体"/>
                <w:color w:val="auto"/>
                <w:sz w:val="24"/>
                <w:szCs w:val="24"/>
                <w:highlight w:val="none"/>
              </w:rPr>
            </w:pPr>
            <w:r>
              <w:rPr>
                <w:rFonts w:hint="eastAsia" w:ascii="宋体" w:hAnsi="宋体" w:cs="宋体"/>
                <w:color w:val="auto"/>
                <w:sz w:val="24"/>
                <w:szCs w:val="24"/>
                <w:highlight w:val="none"/>
              </w:rPr>
              <w:t>按人员配置总数计算</w:t>
            </w:r>
          </w:p>
        </w:tc>
      </w:tr>
      <w:tr w14:paraId="759FD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399" w:type="pct"/>
            <w:noWrap/>
            <w:vAlign w:val="center"/>
          </w:tcPr>
          <w:p w14:paraId="5F8E1804">
            <w:pPr>
              <w:shd w:val="clear" w:color="auto"/>
              <w:jc w:val="center"/>
              <w:rPr>
                <w:rFonts w:ascii="宋体" w:hAnsi="宋体" w:cs="宋体"/>
                <w:color w:val="auto"/>
                <w:sz w:val="24"/>
                <w:szCs w:val="15"/>
                <w:highlight w:val="none"/>
              </w:rPr>
            </w:pPr>
            <w:r>
              <w:rPr>
                <w:rFonts w:hint="eastAsia" w:ascii="宋体" w:hAnsi="宋体" w:cs="宋体"/>
                <w:color w:val="auto"/>
                <w:sz w:val="24"/>
                <w:szCs w:val="15"/>
                <w:highlight w:val="none"/>
              </w:rPr>
              <w:t>（4）</w:t>
            </w:r>
          </w:p>
        </w:tc>
        <w:tc>
          <w:tcPr>
            <w:tcW w:w="578" w:type="pct"/>
            <w:noWrap/>
            <w:vAlign w:val="center"/>
          </w:tcPr>
          <w:p w14:paraId="61DCD85C">
            <w:pPr>
              <w:shd w:val="clear" w:color="auto"/>
              <w:jc w:val="center"/>
              <w:rPr>
                <w:rFonts w:ascii="宋体" w:hAnsi="宋体" w:cs="宋体"/>
                <w:color w:val="auto"/>
                <w:sz w:val="24"/>
                <w:szCs w:val="15"/>
                <w:highlight w:val="none"/>
              </w:rPr>
            </w:pPr>
            <w:r>
              <w:rPr>
                <w:rFonts w:hint="eastAsia" w:ascii="宋体" w:hAnsi="宋体" w:cs="宋体"/>
                <w:color w:val="auto"/>
                <w:sz w:val="24"/>
                <w:szCs w:val="15"/>
                <w:highlight w:val="none"/>
              </w:rPr>
              <w:t>高温费</w:t>
            </w:r>
          </w:p>
        </w:tc>
        <w:tc>
          <w:tcPr>
            <w:tcW w:w="368" w:type="pct"/>
            <w:noWrap/>
            <w:vAlign w:val="center"/>
          </w:tcPr>
          <w:p w14:paraId="3193DD7C">
            <w:pPr>
              <w:shd w:val="clear" w:color="auto"/>
              <w:jc w:val="center"/>
              <w:rPr>
                <w:rFonts w:ascii="宋体" w:hAnsi="宋体" w:cs="宋体"/>
                <w:color w:val="auto"/>
                <w:sz w:val="24"/>
                <w:szCs w:val="15"/>
                <w:highlight w:val="none"/>
              </w:rPr>
            </w:pPr>
          </w:p>
        </w:tc>
        <w:tc>
          <w:tcPr>
            <w:tcW w:w="795" w:type="pct"/>
            <w:noWrap/>
            <w:vAlign w:val="center"/>
          </w:tcPr>
          <w:p w14:paraId="24F7CE0B">
            <w:pPr>
              <w:shd w:val="clear" w:color="auto"/>
              <w:jc w:val="center"/>
              <w:rPr>
                <w:rFonts w:ascii="宋体" w:hAnsi="宋体" w:cs="宋体"/>
                <w:color w:val="auto"/>
                <w:sz w:val="24"/>
                <w:szCs w:val="15"/>
                <w:highlight w:val="none"/>
              </w:rPr>
            </w:pPr>
          </w:p>
        </w:tc>
        <w:tc>
          <w:tcPr>
            <w:tcW w:w="662" w:type="pct"/>
            <w:noWrap/>
            <w:vAlign w:val="center"/>
          </w:tcPr>
          <w:p w14:paraId="1D9D32A4">
            <w:pPr>
              <w:shd w:val="clear" w:color="auto"/>
              <w:jc w:val="center"/>
              <w:rPr>
                <w:rFonts w:ascii="宋体" w:hAnsi="宋体" w:cs="宋体"/>
                <w:color w:val="auto"/>
                <w:sz w:val="24"/>
                <w:szCs w:val="15"/>
                <w:highlight w:val="none"/>
              </w:rPr>
            </w:pPr>
          </w:p>
        </w:tc>
        <w:tc>
          <w:tcPr>
            <w:tcW w:w="662" w:type="pct"/>
            <w:noWrap/>
            <w:vAlign w:val="center"/>
          </w:tcPr>
          <w:p w14:paraId="00C5A3CC">
            <w:pPr>
              <w:shd w:val="clear" w:color="auto"/>
              <w:jc w:val="center"/>
              <w:rPr>
                <w:rFonts w:ascii="宋体" w:hAnsi="宋体" w:cs="宋体"/>
                <w:color w:val="auto"/>
                <w:sz w:val="24"/>
                <w:szCs w:val="15"/>
                <w:highlight w:val="none"/>
              </w:rPr>
            </w:pPr>
          </w:p>
        </w:tc>
        <w:tc>
          <w:tcPr>
            <w:tcW w:w="508" w:type="pct"/>
            <w:noWrap/>
            <w:vAlign w:val="center"/>
          </w:tcPr>
          <w:p w14:paraId="7AF8218A">
            <w:pPr>
              <w:shd w:val="clear" w:color="auto"/>
              <w:jc w:val="center"/>
              <w:rPr>
                <w:rFonts w:ascii="宋体" w:hAnsi="宋体" w:cs="宋体"/>
                <w:color w:val="auto"/>
                <w:sz w:val="10"/>
                <w:szCs w:val="10"/>
                <w:highlight w:val="none"/>
              </w:rPr>
            </w:pPr>
          </w:p>
        </w:tc>
        <w:tc>
          <w:tcPr>
            <w:tcW w:w="522" w:type="pct"/>
            <w:noWrap/>
            <w:vAlign w:val="center"/>
          </w:tcPr>
          <w:p w14:paraId="76D687CB">
            <w:pPr>
              <w:shd w:val="clear" w:color="auto"/>
              <w:jc w:val="center"/>
              <w:rPr>
                <w:rFonts w:hint="eastAsia" w:ascii="宋体" w:hAnsi="宋体" w:cs="宋体"/>
                <w:color w:val="auto"/>
                <w:sz w:val="10"/>
                <w:szCs w:val="10"/>
                <w:highlight w:val="none"/>
              </w:rPr>
            </w:pPr>
          </w:p>
        </w:tc>
        <w:tc>
          <w:tcPr>
            <w:tcW w:w="501" w:type="pct"/>
            <w:noWrap/>
            <w:vAlign w:val="center"/>
          </w:tcPr>
          <w:p w14:paraId="4B257BA4">
            <w:pPr>
              <w:shd w:val="clear" w:color="auto"/>
              <w:jc w:val="center"/>
              <w:rPr>
                <w:rFonts w:ascii="宋体" w:hAnsi="宋体" w:cs="宋体"/>
                <w:color w:val="auto"/>
                <w:sz w:val="24"/>
                <w:szCs w:val="24"/>
                <w:highlight w:val="none"/>
              </w:rPr>
            </w:pPr>
            <w:r>
              <w:rPr>
                <w:rFonts w:hint="eastAsia" w:ascii="宋体" w:hAnsi="宋体" w:cs="宋体"/>
                <w:color w:val="auto"/>
                <w:sz w:val="24"/>
                <w:szCs w:val="24"/>
                <w:highlight w:val="none"/>
              </w:rPr>
              <w:t>按人员配置总数计算</w:t>
            </w:r>
          </w:p>
        </w:tc>
      </w:tr>
      <w:tr w14:paraId="4D393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399" w:type="pct"/>
            <w:noWrap/>
            <w:vAlign w:val="center"/>
          </w:tcPr>
          <w:p w14:paraId="5C18BB21">
            <w:pPr>
              <w:shd w:val="clear" w:color="auto"/>
              <w:jc w:val="center"/>
              <w:rPr>
                <w:rFonts w:ascii="宋体" w:hAnsi="宋体" w:cs="宋体"/>
                <w:color w:val="auto"/>
                <w:sz w:val="24"/>
                <w:szCs w:val="15"/>
                <w:highlight w:val="none"/>
              </w:rPr>
            </w:pPr>
            <w:r>
              <w:rPr>
                <w:rFonts w:hint="eastAsia" w:ascii="宋体" w:hAnsi="宋体" w:cs="宋体"/>
                <w:color w:val="auto"/>
                <w:sz w:val="24"/>
                <w:szCs w:val="15"/>
                <w:highlight w:val="none"/>
              </w:rPr>
              <w:t>（5）</w:t>
            </w:r>
          </w:p>
        </w:tc>
        <w:tc>
          <w:tcPr>
            <w:tcW w:w="578" w:type="pct"/>
            <w:noWrap/>
            <w:vAlign w:val="center"/>
          </w:tcPr>
          <w:p w14:paraId="5B47C2E5">
            <w:pPr>
              <w:shd w:val="clear" w:color="auto"/>
              <w:jc w:val="center"/>
              <w:rPr>
                <w:rFonts w:ascii="宋体" w:hAnsi="宋体" w:cs="宋体"/>
                <w:color w:val="auto"/>
                <w:sz w:val="24"/>
                <w:szCs w:val="15"/>
                <w:highlight w:val="none"/>
              </w:rPr>
            </w:pPr>
            <w:r>
              <w:rPr>
                <w:rFonts w:hint="eastAsia" w:ascii="宋体" w:hAnsi="宋体" w:cs="宋体"/>
                <w:color w:val="auto"/>
                <w:sz w:val="24"/>
                <w:szCs w:val="15"/>
                <w:highlight w:val="none"/>
              </w:rPr>
              <w:t>其他员工福利</w:t>
            </w:r>
          </w:p>
        </w:tc>
        <w:tc>
          <w:tcPr>
            <w:tcW w:w="368" w:type="pct"/>
            <w:noWrap/>
            <w:vAlign w:val="center"/>
          </w:tcPr>
          <w:p w14:paraId="2BE09A90">
            <w:pPr>
              <w:shd w:val="clear" w:color="auto"/>
              <w:jc w:val="center"/>
              <w:rPr>
                <w:rFonts w:ascii="宋体" w:hAnsi="宋体" w:cs="宋体"/>
                <w:color w:val="auto"/>
                <w:sz w:val="24"/>
                <w:szCs w:val="15"/>
                <w:highlight w:val="none"/>
              </w:rPr>
            </w:pPr>
          </w:p>
        </w:tc>
        <w:tc>
          <w:tcPr>
            <w:tcW w:w="795" w:type="pct"/>
            <w:noWrap/>
            <w:vAlign w:val="center"/>
          </w:tcPr>
          <w:p w14:paraId="458FB250">
            <w:pPr>
              <w:shd w:val="clear" w:color="auto"/>
              <w:jc w:val="center"/>
              <w:rPr>
                <w:rFonts w:ascii="宋体" w:hAnsi="宋体" w:cs="宋体"/>
                <w:color w:val="auto"/>
                <w:sz w:val="24"/>
                <w:szCs w:val="15"/>
                <w:highlight w:val="none"/>
              </w:rPr>
            </w:pPr>
          </w:p>
        </w:tc>
        <w:tc>
          <w:tcPr>
            <w:tcW w:w="662" w:type="pct"/>
            <w:noWrap/>
            <w:vAlign w:val="center"/>
          </w:tcPr>
          <w:p w14:paraId="7817FC56">
            <w:pPr>
              <w:shd w:val="clear" w:color="auto"/>
              <w:jc w:val="center"/>
              <w:rPr>
                <w:rFonts w:ascii="宋体" w:hAnsi="宋体" w:cs="宋体"/>
                <w:color w:val="auto"/>
                <w:sz w:val="24"/>
                <w:szCs w:val="15"/>
                <w:highlight w:val="none"/>
              </w:rPr>
            </w:pPr>
          </w:p>
        </w:tc>
        <w:tc>
          <w:tcPr>
            <w:tcW w:w="662" w:type="pct"/>
            <w:noWrap/>
            <w:vAlign w:val="center"/>
          </w:tcPr>
          <w:p w14:paraId="4481A489">
            <w:pPr>
              <w:shd w:val="clear" w:color="auto"/>
              <w:jc w:val="center"/>
              <w:rPr>
                <w:rFonts w:ascii="宋体" w:hAnsi="宋体" w:cs="宋体"/>
                <w:color w:val="auto"/>
                <w:sz w:val="24"/>
                <w:szCs w:val="15"/>
                <w:highlight w:val="none"/>
              </w:rPr>
            </w:pPr>
          </w:p>
        </w:tc>
        <w:tc>
          <w:tcPr>
            <w:tcW w:w="508" w:type="pct"/>
            <w:noWrap/>
            <w:vAlign w:val="center"/>
          </w:tcPr>
          <w:p w14:paraId="0D31F826">
            <w:pPr>
              <w:shd w:val="clear" w:color="auto"/>
              <w:jc w:val="center"/>
              <w:rPr>
                <w:rFonts w:ascii="宋体" w:hAnsi="宋体" w:cs="宋体"/>
                <w:color w:val="auto"/>
                <w:sz w:val="10"/>
                <w:szCs w:val="10"/>
                <w:highlight w:val="none"/>
              </w:rPr>
            </w:pPr>
          </w:p>
        </w:tc>
        <w:tc>
          <w:tcPr>
            <w:tcW w:w="522" w:type="pct"/>
            <w:noWrap/>
            <w:vAlign w:val="center"/>
          </w:tcPr>
          <w:p w14:paraId="5A87415E">
            <w:pPr>
              <w:shd w:val="clear" w:color="auto"/>
              <w:jc w:val="center"/>
              <w:rPr>
                <w:rFonts w:hint="eastAsia" w:ascii="宋体" w:hAnsi="宋体" w:cs="宋体"/>
                <w:color w:val="auto"/>
                <w:sz w:val="10"/>
                <w:szCs w:val="10"/>
                <w:highlight w:val="none"/>
              </w:rPr>
            </w:pPr>
          </w:p>
        </w:tc>
        <w:tc>
          <w:tcPr>
            <w:tcW w:w="501" w:type="pct"/>
            <w:noWrap/>
            <w:vAlign w:val="center"/>
          </w:tcPr>
          <w:p w14:paraId="614D2C58">
            <w:pPr>
              <w:shd w:val="clear" w:color="auto"/>
              <w:jc w:val="center"/>
              <w:rPr>
                <w:rFonts w:ascii="宋体" w:hAnsi="宋体" w:cs="宋体"/>
                <w:color w:val="auto"/>
                <w:sz w:val="24"/>
                <w:szCs w:val="24"/>
                <w:highlight w:val="none"/>
              </w:rPr>
            </w:pPr>
            <w:r>
              <w:rPr>
                <w:rFonts w:hint="eastAsia" w:ascii="宋体" w:hAnsi="宋体" w:cs="宋体"/>
                <w:color w:val="auto"/>
                <w:sz w:val="24"/>
                <w:szCs w:val="24"/>
                <w:highlight w:val="none"/>
              </w:rPr>
              <w:t>按人员配置总数计算</w:t>
            </w:r>
          </w:p>
        </w:tc>
      </w:tr>
      <w:tr w14:paraId="05017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399" w:type="pct"/>
            <w:noWrap/>
            <w:vAlign w:val="center"/>
          </w:tcPr>
          <w:p w14:paraId="30AFCBE7">
            <w:pPr>
              <w:shd w:val="clear" w:color="auto"/>
              <w:jc w:val="center"/>
              <w:rPr>
                <w:rFonts w:ascii="宋体" w:hAnsi="宋体" w:cs="宋体"/>
                <w:color w:val="auto"/>
                <w:sz w:val="24"/>
                <w:szCs w:val="15"/>
                <w:highlight w:val="none"/>
              </w:rPr>
            </w:pPr>
            <w:r>
              <w:rPr>
                <w:rFonts w:hint="eastAsia" w:ascii="宋体" w:hAnsi="宋体" w:cs="宋体"/>
                <w:color w:val="auto"/>
                <w:sz w:val="24"/>
                <w:szCs w:val="15"/>
                <w:highlight w:val="none"/>
              </w:rPr>
              <w:t>……</w:t>
            </w:r>
          </w:p>
        </w:tc>
        <w:tc>
          <w:tcPr>
            <w:tcW w:w="578" w:type="pct"/>
            <w:noWrap/>
            <w:vAlign w:val="center"/>
          </w:tcPr>
          <w:p w14:paraId="6F2C3506">
            <w:pPr>
              <w:shd w:val="clear" w:color="auto"/>
              <w:jc w:val="center"/>
              <w:rPr>
                <w:rFonts w:ascii="宋体" w:hAnsi="宋体" w:cs="宋体"/>
                <w:color w:val="auto"/>
                <w:sz w:val="24"/>
                <w:szCs w:val="15"/>
                <w:highlight w:val="none"/>
              </w:rPr>
            </w:pPr>
          </w:p>
        </w:tc>
        <w:tc>
          <w:tcPr>
            <w:tcW w:w="368" w:type="pct"/>
            <w:noWrap/>
            <w:vAlign w:val="center"/>
          </w:tcPr>
          <w:p w14:paraId="115DD397">
            <w:pPr>
              <w:shd w:val="clear" w:color="auto"/>
              <w:jc w:val="center"/>
              <w:rPr>
                <w:rFonts w:ascii="宋体" w:hAnsi="宋体" w:cs="宋体"/>
                <w:color w:val="auto"/>
                <w:sz w:val="24"/>
                <w:szCs w:val="15"/>
                <w:highlight w:val="none"/>
              </w:rPr>
            </w:pPr>
          </w:p>
        </w:tc>
        <w:tc>
          <w:tcPr>
            <w:tcW w:w="795" w:type="pct"/>
            <w:noWrap/>
            <w:vAlign w:val="center"/>
          </w:tcPr>
          <w:p w14:paraId="576F04EB">
            <w:pPr>
              <w:shd w:val="clear" w:color="auto"/>
              <w:jc w:val="center"/>
              <w:rPr>
                <w:rFonts w:ascii="宋体" w:hAnsi="宋体" w:cs="宋体"/>
                <w:color w:val="auto"/>
                <w:sz w:val="24"/>
                <w:szCs w:val="15"/>
                <w:highlight w:val="none"/>
              </w:rPr>
            </w:pPr>
          </w:p>
        </w:tc>
        <w:tc>
          <w:tcPr>
            <w:tcW w:w="662" w:type="pct"/>
            <w:noWrap/>
            <w:vAlign w:val="center"/>
          </w:tcPr>
          <w:p w14:paraId="78449798">
            <w:pPr>
              <w:shd w:val="clear" w:color="auto"/>
              <w:jc w:val="center"/>
              <w:rPr>
                <w:rFonts w:ascii="宋体" w:hAnsi="宋体" w:cs="宋体"/>
                <w:color w:val="auto"/>
                <w:sz w:val="24"/>
                <w:szCs w:val="15"/>
                <w:highlight w:val="none"/>
              </w:rPr>
            </w:pPr>
          </w:p>
        </w:tc>
        <w:tc>
          <w:tcPr>
            <w:tcW w:w="662" w:type="pct"/>
            <w:noWrap/>
            <w:vAlign w:val="center"/>
          </w:tcPr>
          <w:p w14:paraId="3ACDE981">
            <w:pPr>
              <w:shd w:val="clear" w:color="auto"/>
              <w:jc w:val="center"/>
              <w:rPr>
                <w:rFonts w:ascii="宋体" w:hAnsi="宋体" w:cs="宋体"/>
                <w:color w:val="auto"/>
                <w:sz w:val="24"/>
                <w:szCs w:val="15"/>
                <w:highlight w:val="none"/>
              </w:rPr>
            </w:pPr>
          </w:p>
        </w:tc>
        <w:tc>
          <w:tcPr>
            <w:tcW w:w="508" w:type="pct"/>
            <w:noWrap/>
            <w:vAlign w:val="center"/>
          </w:tcPr>
          <w:p w14:paraId="5FA677D4">
            <w:pPr>
              <w:shd w:val="clear" w:color="auto"/>
              <w:jc w:val="center"/>
              <w:rPr>
                <w:rFonts w:ascii="宋体" w:hAnsi="宋体" w:cs="宋体"/>
                <w:color w:val="auto"/>
                <w:sz w:val="10"/>
                <w:szCs w:val="10"/>
                <w:highlight w:val="none"/>
              </w:rPr>
            </w:pPr>
          </w:p>
        </w:tc>
        <w:tc>
          <w:tcPr>
            <w:tcW w:w="522" w:type="pct"/>
            <w:noWrap/>
            <w:vAlign w:val="center"/>
          </w:tcPr>
          <w:p w14:paraId="482F96D2">
            <w:pPr>
              <w:shd w:val="clear" w:color="auto"/>
              <w:jc w:val="center"/>
              <w:rPr>
                <w:rFonts w:ascii="宋体" w:hAnsi="宋体" w:cs="宋体"/>
                <w:color w:val="auto"/>
                <w:sz w:val="10"/>
                <w:szCs w:val="10"/>
                <w:highlight w:val="none"/>
              </w:rPr>
            </w:pPr>
          </w:p>
        </w:tc>
        <w:tc>
          <w:tcPr>
            <w:tcW w:w="501" w:type="pct"/>
            <w:noWrap/>
            <w:vAlign w:val="center"/>
          </w:tcPr>
          <w:p w14:paraId="6E48321C">
            <w:pPr>
              <w:shd w:val="clear" w:color="auto"/>
              <w:jc w:val="center"/>
              <w:rPr>
                <w:rFonts w:ascii="宋体" w:hAnsi="宋体" w:cs="宋体"/>
                <w:color w:val="auto"/>
                <w:sz w:val="10"/>
                <w:szCs w:val="10"/>
                <w:highlight w:val="none"/>
              </w:rPr>
            </w:pPr>
          </w:p>
        </w:tc>
      </w:tr>
      <w:tr w14:paraId="39E7B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399" w:type="pct"/>
            <w:noWrap/>
            <w:vAlign w:val="center"/>
          </w:tcPr>
          <w:p w14:paraId="4BDD57CA">
            <w:pPr>
              <w:shd w:val="clear" w:color="auto"/>
              <w:jc w:val="center"/>
              <w:rPr>
                <w:rFonts w:ascii="宋体" w:hAnsi="宋体" w:cs="宋体"/>
                <w:b/>
                <w:color w:val="auto"/>
                <w:sz w:val="24"/>
                <w:szCs w:val="15"/>
                <w:highlight w:val="none"/>
              </w:rPr>
            </w:pPr>
            <w:r>
              <w:rPr>
                <w:rFonts w:hint="eastAsia" w:ascii="宋体" w:hAnsi="宋体" w:cs="宋体"/>
                <w:b/>
                <w:color w:val="auto"/>
                <w:sz w:val="24"/>
                <w:szCs w:val="15"/>
                <w:highlight w:val="none"/>
              </w:rPr>
              <w:t>2</w:t>
            </w:r>
          </w:p>
        </w:tc>
        <w:tc>
          <w:tcPr>
            <w:tcW w:w="578" w:type="pct"/>
            <w:noWrap/>
            <w:vAlign w:val="center"/>
          </w:tcPr>
          <w:p w14:paraId="6191B369">
            <w:pPr>
              <w:shd w:val="clear" w:color="auto"/>
              <w:jc w:val="center"/>
              <w:rPr>
                <w:rFonts w:ascii="宋体" w:hAnsi="宋体" w:cs="宋体"/>
                <w:b/>
                <w:color w:val="auto"/>
                <w:sz w:val="24"/>
                <w:szCs w:val="15"/>
                <w:highlight w:val="none"/>
              </w:rPr>
            </w:pPr>
            <w:r>
              <w:rPr>
                <w:rFonts w:hint="eastAsia" w:ascii="宋体" w:hAnsi="宋体" w:cs="宋体"/>
                <w:b/>
                <w:color w:val="auto"/>
                <w:sz w:val="24"/>
                <w:szCs w:val="15"/>
                <w:highlight w:val="none"/>
              </w:rPr>
              <w:t>法定计提费用</w:t>
            </w:r>
          </w:p>
        </w:tc>
        <w:tc>
          <w:tcPr>
            <w:tcW w:w="368" w:type="pct"/>
            <w:noWrap/>
            <w:vAlign w:val="center"/>
          </w:tcPr>
          <w:p w14:paraId="08468ABA">
            <w:pPr>
              <w:shd w:val="clear" w:color="auto"/>
              <w:jc w:val="center"/>
              <w:rPr>
                <w:rFonts w:ascii="宋体" w:hAnsi="宋体" w:cs="宋体"/>
                <w:b/>
                <w:color w:val="auto"/>
                <w:sz w:val="24"/>
                <w:szCs w:val="15"/>
                <w:highlight w:val="none"/>
              </w:rPr>
            </w:pPr>
          </w:p>
        </w:tc>
        <w:tc>
          <w:tcPr>
            <w:tcW w:w="795" w:type="pct"/>
            <w:noWrap/>
            <w:vAlign w:val="center"/>
          </w:tcPr>
          <w:p w14:paraId="231B4DEC">
            <w:pPr>
              <w:shd w:val="clear" w:color="auto"/>
              <w:jc w:val="center"/>
              <w:rPr>
                <w:rFonts w:ascii="宋体" w:hAnsi="宋体" w:cs="宋体"/>
                <w:color w:val="auto"/>
                <w:sz w:val="24"/>
                <w:szCs w:val="15"/>
                <w:highlight w:val="none"/>
              </w:rPr>
            </w:pPr>
          </w:p>
        </w:tc>
        <w:tc>
          <w:tcPr>
            <w:tcW w:w="662" w:type="pct"/>
            <w:noWrap/>
            <w:vAlign w:val="center"/>
          </w:tcPr>
          <w:p w14:paraId="0D4F9EDC">
            <w:pPr>
              <w:shd w:val="clear" w:color="auto"/>
              <w:jc w:val="center"/>
              <w:rPr>
                <w:rFonts w:ascii="宋体" w:hAnsi="宋体" w:cs="宋体"/>
                <w:color w:val="auto"/>
                <w:sz w:val="24"/>
                <w:szCs w:val="15"/>
                <w:highlight w:val="none"/>
              </w:rPr>
            </w:pPr>
          </w:p>
        </w:tc>
        <w:tc>
          <w:tcPr>
            <w:tcW w:w="662" w:type="pct"/>
            <w:noWrap/>
            <w:vAlign w:val="center"/>
          </w:tcPr>
          <w:p w14:paraId="1D12CD19">
            <w:pPr>
              <w:shd w:val="clear" w:color="auto"/>
              <w:jc w:val="center"/>
              <w:rPr>
                <w:rFonts w:ascii="宋体" w:hAnsi="宋体" w:cs="宋体"/>
                <w:color w:val="auto"/>
                <w:sz w:val="24"/>
                <w:szCs w:val="15"/>
                <w:highlight w:val="none"/>
              </w:rPr>
            </w:pPr>
          </w:p>
        </w:tc>
        <w:tc>
          <w:tcPr>
            <w:tcW w:w="508" w:type="pct"/>
            <w:noWrap/>
            <w:vAlign w:val="center"/>
          </w:tcPr>
          <w:p w14:paraId="2FFEA0DC">
            <w:pPr>
              <w:shd w:val="clear" w:color="auto"/>
              <w:jc w:val="center"/>
              <w:rPr>
                <w:rFonts w:ascii="宋体" w:hAnsi="宋体" w:cs="宋体"/>
                <w:color w:val="auto"/>
                <w:sz w:val="10"/>
                <w:szCs w:val="10"/>
                <w:highlight w:val="none"/>
              </w:rPr>
            </w:pPr>
          </w:p>
        </w:tc>
        <w:tc>
          <w:tcPr>
            <w:tcW w:w="522" w:type="pct"/>
            <w:noWrap/>
            <w:vAlign w:val="center"/>
          </w:tcPr>
          <w:p w14:paraId="6D986A82">
            <w:pPr>
              <w:shd w:val="clear" w:color="auto"/>
              <w:jc w:val="center"/>
              <w:rPr>
                <w:rFonts w:ascii="宋体" w:hAnsi="宋体" w:cs="宋体"/>
                <w:color w:val="auto"/>
                <w:sz w:val="10"/>
                <w:szCs w:val="10"/>
                <w:highlight w:val="none"/>
              </w:rPr>
            </w:pPr>
          </w:p>
        </w:tc>
        <w:tc>
          <w:tcPr>
            <w:tcW w:w="501" w:type="pct"/>
            <w:noWrap/>
            <w:vAlign w:val="center"/>
          </w:tcPr>
          <w:p w14:paraId="0EE00929">
            <w:pPr>
              <w:shd w:val="clear" w:color="auto"/>
              <w:jc w:val="center"/>
              <w:rPr>
                <w:rFonts w:ascii="宋体" w:hAnsi="宋体" w:cs="宋体"/>
                <w:color w:val="auto"/>
                <w:sz w:val="10"/>
                <w:szCs w:val="10"/>
                <w:highlight w:val="none"/>
              </w:rPr>
            </w:pPr>
          </w:p>
        </w:tc>
      </w:tr>
      <w:tr w14:paraId="021C2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399" w:type="pct"/>
            <w:noWrap/>
            <w:vAlign w:val="center"/>
          </w:tcPr>
          <w:p w14:paraId="0BB59258">
            <w:pPr>
              <w:shd w:val="clear" w:color="auto"/>
              <w:jc w:val="center"/>
              <w:rPr>
                <w:rFonts w:ascii="宋体" w:hAnsi="宋体" w:cs="宋体"/>
                <w:color w:val="auto"/>
                <w:sz w:val="24"/>
                <w:szCs w:val="15"/>
                <w:highlight w:val="none"/>
              </w:rPr>
            </w:pPr>
            <w:r>
              <w:rPr>
                <w:rFonts w:hint="eastAsia" w:ascii="宋体" w:hAnsi="宋体" w:cs="宋体"/>
                <w:color w:val="auto"/>
                <w:sz w:val="24"/>
                <w:szCs w:val="15"/>
                <w:highlight w:val="none"/>
              </w:rPr>
              <w:t>（1）</w:t>
            </w:r>
          </w:p>
        </w:tc>
        <w:tc>
          <w:tcPr>
            <w:tcW w:w="578" w:type="pct"/>
            <w:noWrap/>
            <w:vAlign w:val="center"/>
          </w:tcPr>
          <w:p w14:paraId="7D8034B8">
            <w:pPr>
              <w:shd w:val="clear" w:color="auto"/>
              <w:jc w:val="center"/>
              <w:rPr>
                <w:rFonts w:ascii="宋体" w:hAnsi="宋体" w:cs="宋体"/>
                <w:color w:val="auto"/>
                <w:sz w:val="24"/>
                <w:szCs w:val="15"/>
                <w:highlight w:val="none"/>
              </w:rPr>
            </w:pPr>
            <w:r>
              <w:rPr>
                <w:rFonts w:hint="eastAsia" w:ascii="宋体" w:hAnsi="宋体" w:cs="宋体"/>
                <w:color w:val="auto"/>
                <w:sz w:val="24"/>
                <w:szCs w:val="15"/>
                <w:highlight w:val="none"/>
              </w:rPr>
              <w:t>养老保险</w:t>
            </w:r>
          </w:p>
        </w:tc>
        <w:tc>
          <w:tcPr>
            <w:tcW w:w="368" w:type="pct"/>
            <w:noWrap/>
            <w:vAlign w:val="center"/>
          </w:tcPr>
          <w:p w14:paraId="49BF3716">
            <w:pPr>
              <w:shd w:val="clear" w:color="auto"/>
              <w:jc w:val="center"/>
              <w:rPr>
                <w:rFonts w:ascii="宋体" w:hAnsi="宋体" w:cs="宋体"/>
                <w:color w:val="auto"/>
                <w:sz w:val="24"/>
                <w:szCs w:val="15"/>
                <w:highlight w:val="none"/>
              </w:rPr>
            </w:pPr>
          </w:p>
        </w:tc>
        <w:tc>
          <w:tcPr>
            <w:tcW w:w="795" w:type="pct"/>
            <w:noWrap/>
            <w:vAlign w:val="center"/>
          </w:tcPr>
          <w:p w14:paraId="7E57ADF8">
            <w:pPr>
              <w:shd w:val="clear" w:color="auto"/>
              <w:jc w:val="center"/>
              <w:rPr>
                <w:rFonts w:ascii="宋体" w:hAnsi="宋体" w:cs="宋体"/>
                <w:color w:val="auto"/>
                <w:sz w:val="24"/>
                <w:szCs w:val="15"/>
                <w:highlight w:val="none"/>
              </w:rPr>
            </w:pPr>
          </w:p>
        </w:tc>
        <w:tc>
          <w:tcPr>
            <w:tcW w:w="662" w:type="pct"/>
            <w:noWrap/>
            <w:vAlign w:val="center"/>
          </w:tcPr>
          <w:p w14:paraId="15713EA6">
            <w:pPr>
              <w:shd w:val="clear" w:color="auto"/>
              <w:jc w:val="center"/>
              <w:rPr>
                <w:rFonts w:ascii="宋体" w:hAnsi="宋体" w:cs="宋体"/>
                <w:color w:val="auto"/>
                <w:sz w:val="24"/>
                <w:szCs w:val="15"/>
                <w:highlight w:val="none"/>
              </w:rPr>
            </w:pPr>
          </w:p>
        </w:tc>
        <w:tc>
          <w:tcPr>
            <w:tcW w:w="662" w:type="pct"/>
            <w:noWrap/>
            <w:vAlign w:val="center"/>
          </w:tcPr>
          <w:p w14:paraId="2EDC1152">
            <w:pPr>
              <w:shd w:val="clear" w:color="auto"/>
              <w:jc w:val="center"/>
              <w:rPr>
                <w:rFonts w:ascii="宋体" w:hAnsi="宋体" w:cs="宋体"/>
                <w:color w:val="auto"/>
                <w:sz w:val="24"/>
                <w:szCs w:val="15"/>
                <w:highlight w:val="none"/>
              </w:rPr>
            </w:pPr>
          </w:p>
        </w:tc>
        <w:tc>
          <w:tcPr>
            <w:tcW w:w="508" w:type="pct"/>
            <w:noWrap/>
            <w:vAlign w:val="center"/>
          </w:tcPr>
          <w:p w14:paraId="75DD0947">
            <w:pPr>
              <w:shd w:val="clear" w:color="auto"/>
              <w:jc w:val="center"/>
              <w:rPr>
                <w:rFonts w:ascii="宋体" w:hAnsi="宋体" w:cs="宋体"/>
                <w:color w:val="auto"/>
                <w:sz w:val="10"/>
                <w:szCs w:val="10"/>
                <w:highlight w:val="none"/>
              </w:rPr>
            </w:pPr>
          </w:p>
        </w:tc>
        <w:tc>
          <w:tcPr>
            <w:tcW w:w="522" w:type="pct"/>
            <w:noWrap/>
            <w:vAlign w:val="center"/>
          </w:tcPr>
          <w:p w14:paraId="76D12408">
            <w:pPr>
              <w:shd w:val="clear" w:color="auto"/>
              <w:jc w:val="center"/>
              <w:rPr>
                <w:rFonts w:ascii="宋体" w:hAnsi="宋体" w:cs="宋体"/>
                <w:color w:val="auto"/>
                <w:sz w:val="10"/>
                <w:szCs w:val="10"/>
                <w:highlight w:val="none"/>
              </w:rPr>
            </w:pPr>
          </w:p>
        </w:tc>
        <w:tc>
          <w:tcPr>
            <w:tcW w:w="501" w:type="pct"/>
            <w:noWrap/>
            <w:vAlign w:val="center"/>
          </w:tcPr>
          <w:p w14:paraId="5A734A31">
            <w:pPr>
              <w:shd w:val="clear" w:color="auto"/>
              <w:jc w:val="center"/>
              <w:rPr>
                <w:rFonts w:ascii="宋体" w:hAnsi="宋体" w:cs="宋体"/>
                <w:color w:val="auto"/>
                <w:sz w:val="10"/>
                <w:szCs w:val="10"/>
                <w:highlight w:val="none"/>
              </w:rPr>
            </w:pPr>
            <w:r>
              <w:rPr>
                <w:rFonts w:hint="eastAsia" w:ascii="宋体" w:hAnsi="宋体" w:cs="宋体"/>
                <w:color w:val="auto"/>
                <w:sz w:val="24"/>
                <w:szCs w:val="24"/>
                <w:highlight w:val="none"/>
              </w:rPr>
              <w:t>按人员配置总数计算</w:t>
            </w:r>
          </w:p>
        </w:tc>
      </w:tr>
      <w:tr w14:paraId="7A9BD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399" w:type="pct"/>
            <w:noWrap/>
            <w:vAlign w:val="center"/>
          </w:tcPr>
          <w:p w14:paraId="714B138E">
            <w:pPr>
              <w:shd w:val="clear" w:color="auto"/>
              <w:jc w:val="center"/>
              <w:rPr>
                <w:rFonts w:ascii="宋体" w:hAnsi="宋体" w:cs="宋体"/>
                <w:color w:val="auto"/>
                <w:sz w:val="24"/>
                <w:szCs w:val="15"/>
                <w:highlight w:val="none"/>
              </w:rPr>
            </w:pPr>
            <w:r>
              <w:rPr>
                <w:rFonts w:hint="eastAsia" w:ascii="宋体" w:hAnsi="宋体" w:cs="宋体"/>
                <w:color w:val="auto"/>
                <w:sz w:val="24"/>
                <w:szCs w:val="15"/>
                <w:highlight w:val="none"/>
              </w:rPr>
              <w:t>（2）</w:t>
            </w:r>
          </w:p>
        </w:tc>
        <w:tc>
          <w:tcPr>
            <w:tcW w:w="578" w:type="pct"/>
            <w:noWrap/>
            <w:vAlign w:val="center"/>
          </w:tcPr>
          <w:p w14:paraId="0E75B4B6">
            <w:pPr>
              <w:shd w:val="clear" w:color="auto"/>
              <w:jc w:val="center"/>
              <w:rPr>
                <w:rFonts w:ascii="宋体" w:hAnsi="宋体" w:cs="宋体"/>
                <w:color w:val="auto"/>
                <w:sz w:val="24"/>
                <w:szCs w:val="15"/>
                <w:highlight w:val="none"/>
              </w:rPr>
            </w:pPr>
            <w:r>
              <w:rPr>
                <w:rFonts w:hint="eastAsia" w:ascii="宋体" w:hAnsi="宋体" w:cs="宋体"/>
                <w:color w:val="auto"/>
                <w:sz w:val="24"/>
                <w:szCs w:val="15"/>
                <w:highlight w:val="none"/>
              </w:rPr>
              <w:t>医疗统筹</w:t>
            </w:r>
          </w:p>
        </w:tc>
        <w:tc>
          <w:tcPr>
            <w:tcW w:w="368" w:type="pct"/>
            <w:noWrap/>
            <w:vAlign w:val="center"/>
          </w:tcPr>
          <w:p w14:paraId="116DC2A2">
            <w:pPr>
              <w:shd w:val="clear" w:color="auto"/>
              <w:jc w:val="center"/>
              <w:rPr>
                <w:rFonts w:ascii="宋体" w:hAnsi="宋体" w:cs="宋体"/>
                <w:color w:val="auto"/>
                <w:sz w:val="24"/>
                <w:szCs w:val="15"/>
                <w:highlight w:val="none"/>
              </w:rPr>
            </w:pPr>
          </w:p>
        </w:tc>
        <w:tc>
          <w:tcPr>
            <w:tcW w:w="795" w:type="pct"/>
            <w:noWrap/>
            <w:vAlign w:val="center"/>
          </w:tcPr>
          <w:p w14:paraId="6A4938E1">
            <w:pPr>
              <w:shd w:val="clear" w:color="auto"/>
              <w:jc w:val="center"/>
              <w:rPr>
                <w:rFonts w:ascii="宋体" w:hAnsi="宋体" w:cs="宋体"/>
                <w:color w:val="auto"/>
                <w:sz w:val="24"/>
                <w:szCs w:val="15"/>
                <w:highlight w:val="none"/>
              </w:rPr>
            </w:pPr>
          </w:p>
        </w:tc>
        <w:tc>
          <w:tcPr>
            <w:tcW w:w="662" w:type="pct"/>
            <w:noWrap/>
            <w:vAlign w:val="center"/>
          </w:tcPr>
          <w:p w14:paraId="18F0A71F">
            <w:pPr>
              <w:shd w:val="clear" w:color="auto"/>
              <w:jc w:val="center"/>
              <w:rPr>
                <w:rFonts w:ascii="宋体" w:hAnsi="宋体" w:cs="宋体"/>
                <w:color w:val="auto"/>
                <w:sz w:val="24"/>
                <w:szCs w:val="15"/>
                <w:highlight w:val="none"/>
              </w:rPr>
            </w:pPr>
          </w:p>
        </w:tc>
        <w:tc>
          <w:tcPr>
            <w:tcW w:w="662" w:type="pct"/>
            <w:noWrap/>
            <w:vAlign w:val="center"/>
          </w:tcPr>
          <w:p w14:paraId="1C6C72E2">
            <w:pPr>
              <w:shd w:val="clear" w:color="auto"/>
              <w:jc w:val="center"/>
              <w:rPr>
                <w:rFonts w:ascii="宋体" w:hAnsi="宋体" w:cs="宋体"/>
                <w:color w:val="auto"/>
                <w:sz w:val="24"/>
                <w:szCs w:val="15"/>
                <w:highlight w:val="none"/>
              </w:rPr>
            </w:pPr>
          </w:p>
        </w:tc>
        <w:tc>
          <w:tcPr>
            <w:tcW w:w="508" w:type="pct"/>
            <w:noWrap/>
            <w:vAlign w:val="center"/>
          </w:tcPr>
          <w:p w14:paraId="1F3A9A58">
            <w:pPr>
              <w:shd w:val="clear" w:color="auto"/>
              <w:jc w:val="center"/>
              <w:rPr>
                <w:rFonts w:ascii="宋体" w:hAnsi="宋体" w:cs="宋体"/>
                <w:color w:val="auto"/>
                <w:sz w:val="10"/>
                <w:szCs w:val="10"/>
                <w:highlight w:val="none"/>
              </w:rPr>
            </w:pPr>
          </w:p>
        </w:tc>
        <w:tc>
          <w:tcPr>
            <w:tcW w:w="522" w:type="pct"/>
            <w:noWrap/>
            <w:vAlign w:val="center"/>
          </w:tcPr>
          <w:p w14:paraId="2E575BF0">
            <w:pPr>
              <w:shd w:val="clear" w:color="auto"/>
              <w:jc w:val="center"/>
              <w:rPr>
                <w:rFonts w:ascii="宋体" w:hAnsi="宋体" w:cs="宋体"/>
                <w:color w:val="auto"/>
                <w:sz w:val="10"/>
                <w:szCs w:val="10"/>
                <w:highlight w:val="none"/>
              </w:rPr>
            </w:pPr>
          </w:p>
        </w:tc>
        <w:tc>
          <w:tcPr>
            <w:tcW w:w="501" w:type="pct"/>
            <w:noWrap/>
            <w:vAlign w:val="center"/>
          </w:tcPr>
          <w:p w14:paraId="2259C52C">
            <w:pPr>
              <w:shd w:val="clear" w:color="auto"/>
              <w:jc w:val="center"/>
              <w:rPr>
                <w:rFonts w:ascii="宋体" w:hAnsi="宋体" w:cs="宋体"/>
                <w:color w:val="auto"/>
                <w:sz w:val="10"/>
                <w:szCs w:val="10"/>
                <w:highlight w:val="none"/>
              </w:rPr>
            </w:pPr>
            <w:r>
              <w:rPr>
                <w:rFonts w:hint="eastAsia" w:ascii="宋体" w:hAnsi="宋体" w:cs="宋体"/>
                <w:color w:val="auto"/>
                <w:sz w:val="24"/>
                <w:szCs w:val="24"/>
                <w:highlight w:val="none"/>
              </w:rPr>
              <w:t>按人员配置总数计算</w:t>
            </w:r>
          </w:p>
        </w:tc>
      </w:tr>
      <w:tr w14:paraId="575B2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399" w:type="pct"/>
            <w:noWrap/>
            <w:vAlign w:val="center"/>
          </w:tcPr>
          <w:p w14:paraId="7CED9C81">
            <w:pPr>
              <w:shd w:val="clear" w:color="auto"/>
              <w:jc w:val="center"/>
              <w:rPr>
                <w:rFonts w:ascii="宋体" w:hAnsi="宋体" w:cs="宋体"/>
                <w:color w:val="auto"/>
                <w:sz w:val="24"/>
                <w:szCs w:val="15"/>
                <w:highlight w:val="none"/>
              </w:rPr>
            </w:pPr>
            <w:r>
              <w:rPr>
                <w:rFonts w:hint="eastAsia" w:ascii="宋体" w:hAnsi="宋体" w:cs="宋体"/>
                <w:color w:val="auto"/>
                <w:sz w:val="24"/>
                <w:szCs w:val="15"/>
                <w:highlight w:val="none"/>
              </w:rPr>
              <w:t>（3）</w:t>
            </w:r>
          </w:p>
        </w:tc>
        <w:tc>
          <w:tcPr>
            <w:tcW w:w="578" w:type="pct"/>
            <w:noWrap/>
            <w:vAlign w:val="center"/>
          </w:tcPr>
          <w:p w14:paraId="1743E90C">
            <w:pPr>
              <w:shd w:val="clear" w:color="auto"/>
              <w:jc w:val="center"/>
              <w:rPr>
                <w:rFonts w:ascii="宋体" w:hAnsi="宋体" w:cs="宋体"/>
                <w:color w:val="auto"/>
                <w:sz w:val="24"/>
                <w:szCs w:val="15"/>
                <w:highlight w:val="none"/>
              </w:rPr>
            </w:pPr>
            <w:r>
              <w:rPr>
                <w:rFonts w:hint="eastAsia" w:ascii="宋体" w:hAnsi="宋体" w:cs="宋体"/>
                <w:color w:val="auto"/>
                <w:sz w:val="24"/>
                <w:szCs w:val="15"/>
                <w:highlight w:val="none"/>
              </w:rPr>
              <w:t>失业</w:t>
            </w:r>
          </w:p>
        </w:tc>
        <w:tc>
          <w:tcPr>
            <w:tcW w:w="368" w:type="pct"/>
            <w:noWrap/>
            <w:vAlign w:val="center"/>
          </w:tcPr>
          <w:p w14:paraId="0ED7E0D6">
            <w:pPr>
              <w:shd w:val="clear" w:color="auto"/>
              <w:jc w:val="center"/>
              <w:rPr>
                <w:rFonts w:ascii="宋体" w:hAnsi="宋体" w:cs="宋体"/>
                <w:color w:val="auto"/>
                <w:sz w:val="24"/>
                <w:szCs w:val="15"/>
                <w:highlight w:val="none"/>
              </w:rPr>
            </w:pPr>
          </w:p>
        </w:tc>
        <w:tc>
          <w:tcPr>
            <w:tcW w:w="795" w:type="pct"/>
            <w:noWrap/>
            <w:vAlign w:val="center"/>
          </w:tcPr>
          <w:p w14:paraId="47342C8E">
            <w:pPr>
              <w:shd w:val="clear" w:color="auto"/>
              <w:jc w:val="center"/>
              <w:rPr>
                <w:rFonts w:ascii="宋体" w:hAnsi="宋体" w:cs="宋体"/>
                <w:color w:val="auto"/>
                <w:sz w:val="24"/>
                <w:szCs w:val="15"/>
                <w:highlight w:val="none"/>
              </w:rPr>
            </w:pPr>
          </w:p>
        </w:tc>
        <w:tc>
          <w:tcPr>
            <w:tcW w:w="662" w:type="pct"/>
            <w:noWrap/>
            <w:vAlign w:val="center"/>
          </w:tcPr>
          <w:p w14:paraId="6716591B">
            <w:pPr>
              <w:shd w:val="clear" w:color="auto"/>
              <w:jc w:val="center"/>
              <w:rPr>
                <w:rFonts w:ascii="宋体" w:hAnsi="宋体" w:cs="宋体"/>
                <w:color w:val="auto"/>
                <w:sz w:val="24"/>
                <w:szCs w:val="15"/>
                <w:highlight w:val="none"/>
              </w:rPr>
            </w:pPr>
          </w:p>
        </w:tc>
        <w:tc>
          <w:tcPr>
            <w:tcW w:w="662" w:type="pct"/>
            <w:noWrap/>
            <w:vAlign w:val="center"/>
          </w:tcPr>
          <w:p w14:paraId="7A735662">
            <w:pPr>
              <w:shd w:val="clear" w:color="auto"/>
              <w:jc w:val="center"/>
              <w:rPr>
                <w:rFonts w:ascii="宋体" w:hAnsi="宋体" w:cs="宋体"/>
                <w:color w:val="auto"/>
                <w:sz w:val="24"/>
                <w:szCs w:val="15"/>
                <w:highlight w:val="none"/>
              </w:rPr>
            </w:pPr>
          </w:p>
        </w:tc>
        <w:tc>
          <w:tcPr>
            <w:tcW w:w="508" w:type="pct"/>
            <w:noWrap/>
            <w:vAlign w:val="center"/>
          </w:tcPr>
          <w:p w14:paraId="409A70BB">
            <w:pPr>
              <w:shd w:val="clear" w:color="auto"/>
              <w:jc w:val="center"/>
              <w:rPr>
                <w:rFonts w:ascii="宋体" w:hAnsi="宋体" w:cs="宋体"/>
                <w:color w:val="auto"/>
                <w:sz w:val="10"/>
                <w:szCs w:val="10"/>
                <w:highlight w:val="none"/>
              </w:rPr>
            </w:pPr>
          </w:p>
        </w:tc>
        <w:tc>
          <w:tcPr>
            <w:tcW w:w="522" w:type="pct"/>
            <w:noWrap/>
            <w:vAlign w:val="center"/>
          </w:tcPr>
          <w:p w14:paraId="6B185750">
            <w:pPr>
              <w:shd w:val="clear" w:color="auto"/>
              <w:jc w:val="center"/>
              <w:rPr>
                <w:rFonts w:ascii="宋体" w:hAnsi="宋体" w:cs="宋体"/>
                <w:color w:val="auto"/>
                <w:sz w:val="10"/>
                <w:szCs w:val="10"/>
                <w:highlight w:val="none"/>
              </w:rPr>
            </w:pPr>
          </w:p>
        </w:tc>
        <w:tc>
          <w:tcPr>
            <w:tcW w:w="501" w:type="pct"/>
            <w:noWrap/>
            <w:vAlign w:val="center"/>
          </w:tcPr>
          <w:p w14:paraId="6105C655">
            <w:pPr>
              <w:shd w:val="clear" w:color="auto"/>
              <w:jc w:val="center"/>
              <w:rPr>
                <w:rFonts w:ascii="宋体" w:hAnsi="宋体" w:cs="宋体"/>
                <w:color w:val="auto"/>
                <w:sz w:val="10"/>
                <w:szCs w:val="10"/>
                <w:highlight w:val="none"/>
              </w:rPr>
            </w:pPr>
            <w:r>
              <w:rPr>
                <w:rFonts w:hint="eastAsia" w:ascii="宋体" w:hAnsi="宋体" w:cs="宋体"/>
                <w:color w:val="auto"/>
                <w:sz w:val="24"/>
                <w:szCs w:val="24"/>
                <w:highlight w:val="none"/>
              </w:rPr>
              <w:t>按人员配置总数计算</w:t>
            </w:r>
          </w:p>
        </w:tc>
      </w:tr>
      <w:tr w14:paraId="375C6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399" w:type="pct"/>
            <w:noWrap/>
            <w:vAlign w:val="center"/>
          </w:tcPr>
          <w:p w14:paraId="7BE077B9">
            <w:pPr>
              <w:shd w:val="clear" w:color="auto"/>
              <w:jc w:val="center"/>
              <w:rPr>
                <w:rFonts w:ascii="宋体" w:hAnsi="宋体" w:cs="宋体"/>
                <w:color w:val="auto"/>
                <w:sz w:val="24"/>
                <w:szCs w:val="15"/>
                <w:highlight w:val="none"/>
              </w:rPr>
            </w:pPr>
            <w:r>
              <w:rPr>
                <w:rFonts w:hint="eastAsia" w:ascii="宋体" w:hAnsi="宋体" w:cs="宋体"/>
                <w:color w:val="auto"/>
                <w:sz w:val="24"/>
                <w:szCs w:val="15"/>
                <w:highlight w:val="none"/>
              </w:rPr>
              <w:t>（4）</w:t>
            </w:r>
          </w:p>
        </w:tc>
        <w:tc>
          <w:tcPr>
            <w:tcW w:w="578" w:type="pct"/>
            <w:noWrap/>
            <w:vAlign w:val="center"/>
          </w:tcPr>
          <w:p w14:paraId="61FC3C05">
            <w:pPr>
              <w:shd w:val="clear" w:color="auto"/>
              <w:jc w:val="center"/>
              <w:rPr>
                <w:rFonts w:ascii="宋体" w:hAnsi="宋体" w:cs="宋体"/>
                <w:color w:val="auto"/>
                <w:sz w:val="24"/>
                <w:szCs w:val="15"/>
                <w:highlight w:val="none"/>
              </w:rPr>
            </w:pPr>
            <w:r>
              <w:rPr>
                <w:rFonts w:hint="eastAsia" w:ascii="宋体" w:hAnsi="宋体" w:cs="宋体"/>
                <w:color w:val="auto"/>
                <w:sz w:val="24"/>
                <w:szCs w:val="15"/>
                <w:highlight w:val="none"/>
              </w:rPr>
              <w:t>工伤</w:t>
            </w:r>
          </w:p>
        </w:tc>
        <w:tc>
          <w:tcPr>
            <w:tcW w:w="368" w:type="pct"/>
            <w:noWrap/>
            <w:vAlign w:val="center"/>
          </w:tcPr>
          <w:p w14:paraId="2A396BB0">
            <w:pPr>
              <w:shd w:val="clear" w:color="auto"/>
              <w:jc w:val="center"/>
              <w:rPr>
                <w:rFonts w:ascii="宋体" w:hAnsi="宋体" w:cs="宋体"/>
                <w:color w:val="auto"/>
                <w:sz w:val="24"/>
                <w:szCs w:val="15"/>
                <w:highlight w:val="none"/>
              </w:rPr>
            </w:pPr>
          </w:p>
        </w:tc>
        <w:tc>
          <w:tcPr>
            <w:tcW w:w="795" w:type="pct"/>
            <w:noWrap/>
            <w:vAlign w:val="center"/>
          </w:tcPr>
          <w:p w14:paraId="20E77B50">
            <w:pPr>
              <w:shd w:val="clear" w:color="auto"/>
              <w:jc w:val="center"/>
              <w:rPr>
                <w:rFonts w:ascii="宋体" w:hAnsi="宋体" w:cs="宋体"/>
                <w:color w:val="auto"/>
                <w:sz w:val="24"/>
                <w:szCs w:val="15"/>
                <w:highlight w:val="none"/>
              </w:rPr>
            </w:pPr>
          </w:p>
        </w:tc>
        <w:tc>
          <w:tcPr>
            <w:tcW w:w="662" w:type="pct"/>
            <w:noWrap/>
            <w:vAlign w:val="center"/>
          </w:tcPr>
          <w:p w14:paraId="30E80802">
            <w:pPr>
              <w:shd w:val="clear" w:color="auto"/>
              <w:jc w:val="center"/>
              <w:rPr>
                <w:rFonts w:ascii="宋体" w:hAnsi="宋体" w:cs="宋体"/>
                <w:color w:val="auto"/>
                <w:sz w:val="24"/>
                <w:szCs w:val="15"/>
                <w:highlight w:val="none"/>
              </w:rPr>
            </w:pPr>
          </w:p>
        </w:tc>
        <w:tc>
          <w:tcPr>
            <w:tcW w:w="662" w:type="pct"/>
            <w:noWrap/>
            <w:vAlign w:val="center"/>
          </w:tcPr>
          <w:p w14:paraId="256C56DE">
            <w:pPr>
              <w:shd w:val="clear" w:color="auto"/>
              <w:jc w:val="center"/>
              <w:rPr>
                <w:rFonts w:ascii="宋体" w:hAnsi="宋体" w:cs="宋体"/>
                <w:color w:val="auto"/>
                <w:sz w:val="24"/>
                <w:szCs w:val="15"/>
                <w:highlight w:val="none"/>
              </w:rPr>
            </w:pPr>
          </w:p>
        </w:tc>
        <w:tc>
          <w:tcPr>
            <w:tcW w:w="508" w:type="pct"/>
            <w:noWrap/>
            <w:vAlign w:val="center"/>
          </w:tcPr>
          <w:p w14:paraId="2C0A160E">
            <w:pPr>
              <w:shd w:val="clear" w:color="auto"/>
              <w:jc w:val="center"/>
              <w:rPr>
                <w:rFonts w:ascii="宋体" w:hAnsi="宋体" w:cs="宋体"/>
                <w:color w:val="auto"/>
                <w:sz w:val="10"/>
                <w:szCs w:val="10"/>
                <w:highlight w:val="none"/>
              </w:rPr>
            </w:pPr>
          </w:p>
        </w:tc>
        <w:tc>
          <w:tcPr>
            <w:tcW w:w="522" w:type="pct"/>
            <w:noWrap/>
            <w:vAlign w:val="center"/>
          </w:tcPr>
          <w:p w14:paraId="34AC9AC0">
            <w:pPr>
              <w:shd w:val="clear" w:color="auto"/>
              <w:jc w:val="center"/>
              <w:rPr>
                <w:rFonts w:ascii="宋体" w:hAnsi="宋体" w:cs="宋体"/>
                <w:color w:val="auto"/>
                <w:sz w:val="10"/>
                <w:szCs w:val="10"/>
                <w:highlight w:val="none"/>
              </w:rPr>
            </w:pPr>
          </w:p>
        </w:tc>
        <w:tc>
          <w:tcPr>
            <w:tcW w:w="501" w:type="pct"/>
            <w:noWrap/>
            <w:vAlign w:val="center"/>
          </w:tcPr>
          <w:p w14:paraId="4958D268">
            <w:pPr>
              <w:shd w:val="clear" w:color="auto"/>
              <w:jc w:val="center"/>
              <w:rPr>
                <w:rFonts w:ascii="宋体" w:hAnsi="宋体" w:cs="宋体"/>
                <w:color w:val="auto"/>
                <w:sz w:val="10"/>
                <w:szCs w:val="10"/>
                <w:highlight w:val="none"/>
              </w:rPr>
            </w:pPr>
            <w:r>
              <w:rPr>
                <w:rFonts w:hint="eastAsia" w:ascii="宋体" w:hAnsi="宋体" w:cs="宋体"/>
                <w:color w:val="auto"/>
                <w:sz w:val="24"/>
                <w:szCs w:val="24"/>
                <w:highlight w:val="none"/>
              </w:rPr>
              <w:t>按人员配置总数计算</w:t>
            </w:r>
          </w:p>
        </w:tc>
      </w:tr>
      <w:tr w14:paraId="4AD33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399" w:type="pct"/>
            <w:noWrap/>
            <w:vAlign w:val="center"/>
          </w:tcPr>
          <w:p w14:paraId="087F0BD3">
            <w:pPr>
              <w:shd w:val="clear" w:color="auto"/>
              <w:jc w:val="center"/>
              <w:rPr>
                <w:rFonts w:ascii="宋体" w:hAnsi="宋体" w:cs="宋体"/>
                <w:color w:val="auto"/>
                <w:sz w:val="24"/>
                <w:szCs w:val="15"/>
                <w:highlight w:val="none"/>
              </w:rPr>
            </w:pPr>
            <w:r>
              <w:rPr>
                <w:rFonts w:hint="eastAsia" w:ascii="宋体" w:hAnsi="宋体" w:cs="宋体"/>
                <w:color w:val="auto"/>
                <w:sz w:val="24"/>
                <w:szCs w:val="15"/>
                <w:highlight w:val="none"/>
              </w:rPr>
              <w:t>（5）</w:t>
            </w:r>
          </w:p>
        </w:tc>
        <w:tc>
          <w:tcPr>
            <w:tcW w:w="578" w:type="pct"/>
            <w:noWrap/>
            <w:vAlign w:val="center"/>
          </w:tcPr>
          <w:p w14:paraId="231D6A13">
            <w:pPr>
              <w:shd w:val="clear" w:color="auto"/>
              <w:jc w:val="center"/>
              <w:rPr>
                <w:rFonts w:ascii="宋体" w:hAnsi="宋体" w:cs="宋体"/>
                <w:color w:val="auto"/>
                <w:sz w:val="24"/>
                <w:szCs w:val="15"/>
                <w:highlight w:val="none"/>
              </w:rPr>
            </w:pPr>
            <w:r>
              <w:rPr>
                <w:rFonts w:hint="eastAsia" w:ascii="宋体" w:hAnsi="宋体" w:cs="宋体"/>
                <w:color w:val="auto"/>
                <w:sz w:val="24"/>
                <w:szCs w:val="15"/>
                <w:highlight w:val="none"/>
              </w:rPr>
              <w:t>生育</w:t>
            </w:r>
          </w:p>
        </w:tc>
        <w:tc>
          <w:tcPr>
            <w:tcW w:w="368" w:type="pct"/>
            <w:noWrap/>
            <w:vAlign w:val="center"/>
          </w:tcPr>
          <w:p w14:paraId="53E8F872">
            <w:pPr>
              <w:shd w:val="clear" w:color="auto"/>
              <w:jc w:val="center"/>
              <w:rPr>
                <w:rFonts w:ascii="宋体" w:hAnsi="宋体" w:cs="宋体"/>
                <w:color w:val="auto"/>
                <w:sz w:val="24"/>
                <w:szCs w:val="15"/>
                <w:highlight w:val="none"/>
              </w:rPr>
            </w:pPr>
          </w:p>
        </w:tc>
        <w:tc>
          <w:tcPr>
            <w:tcW w:w="795" w:type="pct"/>
            <w:noWrap/>
            <w:vAlign w:val="center"/>
          </w:tcPr>
          <w:p w14:paraId="463FF796">
            <w:pPr>
              <w:shd w:val="clear" w:color="auto"/>
              <w:jc w:val="center"/>
              <w:rPr>
                <w:rFonts w:ascii="宋体" w:hAnsi="宋体" w:cs="宋体"/>
                <w:color w:val="auto"/>
                <w:sz w:val="24"/>
                <w:szCs w:val="15"/>
                <w:highlight w:val="none"/>
              </w:rPr>
            </w:pPr>
          </w:p>
        </w:tc>
        <w:tc>
          <w:tcPr>
            <w:tcW w:w="662" w:type="pct"/>
            <w:noWrap/>
            <w:vAlign w:val="center"/>
          </w:tcPr>
          <w:p w14:paraId="77E8ADB4">
            <w:pPr>
              <w:shd w:val="clear" w:color="auto"/>
              <w:jc w:val="center"/>
              <w:rPr>
                <w:rFonts w:ascii="宋体" w:hAnsi="宋体" w:cs="宋体"/>
                <w:color w:val="auto"/>
                <w:sz w:val="24"/>
                <w:szCs w:val="15"/>
                <w:highlight w:val="none"/>
              </w:rPr>
            </w:pPr>
          </w:p>
        </w:tc>
        <w:tc>
          <w:tcPr>
            <w:tcW w:w="662" w:type="pct"/>
            <w:noWrap/>
            <w:vAlign w:val="center"/>
          </w:tcPr>
          <w:p w14:paraId="77285BE6">
            <w:pPr>
              <w:shd w:val="clear" w:color="auto"/>
              <w:jc w:val="center"/>
              <w:rPr>
                <w:rFonts w:ascii="宋体" w:hAnsi="宋体" w:cs="宋体"/>
                <w:color w:val="auto"/>
                <w:sz w:val="24"/>
                <w:szCs w:val="15"/>
                <w:highlight w:val="none"/>
              </w:rPr>
            </w:pPr>
          </w:p>
        </w:tc>
        <w:tc>
          <w:tcPr>
            <w:tcW w:w="508" w:type="pct"/>
            <w:noWrap/>
            <w:vAlign w:val="center"/>
          </w:tcPr>
          <w:p w14:paraId="05B77CC3">
            <w:pPr>
              <w:shd w:val="clear" w:color="auto"/>
              <w:jc w:val="center"/>
              <w:rPr>
                <w:rFonts w:ascii="宋体" w:hAnsi="宋体" w:cs="宋体"/>
                <w:color w:val="auto"/>
                <w:sz w:val="10"/>
                <w:szCs w:val="10"/>
                <w:highlight w:val="none"/>
              </w:rPr>
            </w:pPr>
          </w:p>
        </w:tc>
        <w:tc>
          <w:tcPr>
            <w:tcW w:w="522" w:type="pct"/>
            <w:noWrap/>
            <w:vAlign w:val="center"/>
          </w:tcPr>
          <w:p w14:paraId="0BF5D2BC">
            <w:pPr>
              <w:shd w:val="clear" w:color="auto"/>
              <w:jc w:val="center"/>
              <w:rPr>
                <w:rFonts w:ascii="宋体" w:hAnsi="宋体" w:cs="宋体"/>
                <w:color w:val="auto"/>
                <w:sz w:val="10"/>
                <w:szCs w:val="10"/>
                <w:highlight w:val="none"/>
              </w:rPr>
            </w:pPr>
          </w:p>
        </w:tc>
        <w:tc>
          <w:tcPr>
            <w:tcW w:w="501" w:type="pct"/>
            <w:noWrap/>
            <w:vAlign w:val="center"/>
          </w:tcPr>
          <w:p w14:paraId="4F91EF2A">
            <w:pPr>
              <w:shd w:val="clear" w:color="auto"/>
              <w:jc w:val="center"/>
              <w:rPr>
                <w:rFonts w:ascii="宋体" w:hAnsi="宋体" w:cs="宋体"/>
                <w:color w:val="auto"/>
                <w:sz w:val="10"/>
                <w:szCs w:val="10"/>
                <w:highlight w:val="none"/>
              </w:rPr>
            </w:pPr>
            <w:r>
              <w:rPr>
                <w:rFonts w:hint="eastAsia" w:ascii="宋体" w:hAnsi="宋体" w:cs="宋体"/>
                <w:color w:val="auto"/>
                <w:sz w:val="24"/>
                <w:szCs w:val="24"/>
                <w:highlight w:val="none"/>
              </w:rPr>
              <w:t>按人员配置总数计算</w:t>
            </w:r>
          </w:p>
        </w:tc>
      </w:tr>
      <w:tr w14:paraId="512BC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399" w:type="pct"/>
            <w:noWrap/>
            <w:vAlign w:val="center"/>
          </w:tcPr>
          <w:p w14:paraId="60E30138">
            <w:pPr>
              <w:shd w:val="clear" w:color="auto"/>
              <w:jc w:val="center"/>
              <w:rPr>
                <w:rFonts w:ascii="宋体" w:hAnsi="宋体" w:cs="宋体"/>
                <w:color w:val="auto"/>
                <w:sz w:val="24"/>
                <w:szCs w:val="15"/>
                <w:highlight w:val="none"/>
              </w:rPr>
            </w:pPr>
            <w:r>
              <w:rPr>
                <w:rFonts w:hint="eastAsia" w:ascii="宋体" w:hAnsi="宋体" w:cs="宋体"/>
                <w:color w:val="auto"/>
                <w:sz w:val="24"/>
                <w:szCs w:val="15"/>
                <w:highlight w:val="none"/>
              </w:rPr>
              <w:t>（6）</w:t>
            </w:r>
          </w:p>
        </w:tc>
        <w:tc>
          <w:tcPr>
            <w:tcW w:w="578" w:type="pct"/>
            <w:noWrap/>
            <w:vAlign w:val="center"/>
          </w:tcPr>
          <w:p w14:paraId="41E9A609">
            <w:pPr>
              <w:shd w:val="clear" w:color="auto"/>
              <w:jc w:val="center"/>
              <w:rPr>
                <w:rFonts w:ascii="宋体" w:hAnsi="宋体" w:cs="宋体"/>
                <w:color w:val="auto"/>
                <w:sz w:val="24"/>
                <w:szCs w:val="15"/>
                <w:highlight w:val="none"/>
              </w:rPr>
            </w:pPr>
            <w:r>
              <w:rPr>
                <w:rFonts w:hint="eastAsia" w:ascii="宋体" w:hAnsi="宋体" w:cs="宋体"/>
                <w:color w:val="auto"/>
                <w:sz w:val="24"/>
                <w:szCs w:val="15"/>
                <w:highlight w:val="none"/>
              </w:rPr>
              <w:t>其他法定计提费用</w:t>
            </w:r>
          </w:p>
        </w:tc>
        <w:tc>
          <w:tcPr>
            <w:tcW w:w="368" w:type="pct"/>
            <w:noWrap/>
            <w:vAlign w:val="center"/>
          </w:tcPr>
          <w:p w14:paraId="44CF02D0">
            <w:pPr>
              <w:shd w:val="clear" w:color="auto"/>
              <w:jc w:val="center"/>
              <w:rPr>
                <w:rFonts w:ascii="宋体" w:hAnsi="宋体" w:cs="宋体"/>
                <w:color w:val="auto"/>
                <w:sz w:val="24"/>
                <w:szCs w:val="15"/>
                <w:highlight w:val="none"/>
              </w:rPr>
            </w:pPr>
          </w:p>
        </w:tc>
        <w:tc>
          <w:tcPr>
            <w:tcW w:w="795" w:type="pct"/>
            <w:noWrap/>
            <w:vAlign w:val="center"/>
          </w:tcPr>
          <w:p w14:paraId="0E6CBD47">
            <w:pPr>
              <w:shd w:val="clear" w:color="auto"/>
              <w:jc w:val="center"/>
              <w:rPr>
                <w:rFonts w:ascii="宋体" w:hAnsi="宋体" w:cs="宋体"/>
                <w:color w:val="auto"/>
                <w:sz w:val="24"/>
                <w:szCs w:val="15"/>
                <w:highlight w:val="none"/>
              </w:rPr>
            </w:pPr>
          </w:p>
        </w:tc>
        <w:tc>
          <w:tcPr>
            <w:tcW w:w="662" w:type="pct"/>
            <w:noWrap/>
            <w:vAlign w:val="center"/>
          </w:tcPr>
          <w:p w14:paraId="48D51B71">
            <w:pPr>
              <w:shd w:val="clear" w:color="auto"/>
              <w:jc w:val="center"/>
              <w:rPr>
                <w:rFonts w:ascii="宋体" w:hAnsi="宋体" w:cs="宋体"/>
                <w:color w:val="auto"/>
                <w:sz w:val="24"/>
                <w:szCs w:val="15"/>
                <w:highlight w:val="none"/>
              </w:rPr>
            </w:pPr>
          </w:p>
        </w:tc>
        <w:tc>
          <w:tcPr>
            <w:tcW w:w="662" w:type="pct"/>
            <w:noWrap/>
            <w:vAlign w:val="center"/>
          </w:tcPr>
          <w:p w14:paraId="39CAC495">
            <w:pPr>
              <w:shd w:val="clear" w:color="auto"/>
              <w:jc w:val="center"/>
              <w:rPr>
                <w:rFonts w:ascii="宋体" w:hAnsi="宋体" w:cs="宋体"/>
                <w:color w:val="auto"/>
                <w:sz w:val="24"/>
                <w:szCs w:val="15"/>
                <w:highlight w:val="none"/>
              </w:rPr>
            </w:pPr>
          </w:p>
        </w:tc>
        <w:tc>
          <w:tcPr>
            <w:tcW w:w="508" w:type="pct"/>
            <w:noWrap/>
            <w:vAlign w:val="center"/>
          </w:tcPr>
          <w:p w14:paraId="046A683D">
            <w:pPr>
              <w:shd w:val="clear" w:color="auto"/>
              <w:jc w:val="center"/>
              <w:rPr>
                <w:rFonts w:ascii="宋体" w:hAnsi="宋体" w:cs="宋体"/>
                <w:color w:val="auto"/>
                <w:sz w:val="24"/>
                <w:szCs w:val="15"/>
                <w:highlight w:val="none"/>
              </w:rPr>
            </w:pPr>
          </w:p>
        </w:tc>
        <w:tc>
          <w:tcPr>
            <w:tcW w:w="522" w:type="pct"/>
            <w:noWrap/>
            <w:vAlign w:val="center"/>
          </w:tcPr>
          <w:p w14:paraId="64F46636">
            <w:pPr>
              <w:shd w:val="clear" w:color="auto"/>
              <w:jc w:val="center"/>
              <w:rPr>
                <w:rFonts w:ascii="宋体" w:hAnsi="宋体" w:cs="宋体"/>
                <w:color w:val="auto"/>
                <w:sz w:val="24"/>
                <w:szCs w:val="15"/>
                <w:highlight w:val="none"/>
              </w:rPr>
            </w:pPr>
          </w:p>
        </w:tc>
        <w:tc>
          <w:tcPr>
            <w:tcW w:w="501" w:type="pct"/>
            <w:noWrap/>
            <w:vAlign w:val="center"/>
          </w:tcPr>
          <w:p w14:paraId="79D112C9">
            <w:pPr>
              <w:shd w:val="clear" w:color="auto"/>
              <w:jc w:val="center"/>
              <w:rPr>
                <w:rFonts w:ascii="宋体" w:hAnsi="宋体" w:cs="宋体"/>
                <w:color w:val="auto"/>
                <w:sz w:val="24"/>
                <w:szCs w:val="15"/>
                <w:highlight w:val="none"/>
              </w:rPr>
            </w:pPr>
            <w:r>
              <w:rPr>
                <w:rFonts w:hint="eastAsia" w:ascii="宋体" w:hAnsi="宋体" w:cs="宋体"/>
                <w:color w:val="auto"/>
                <w:sz w:val="24"/>
                <w:szCs w:val="24"/>
                <w:highlight w:val="none"/>
              </w:rPr>
              <w:t>按人员配置总数计算</w:t>
            </w:r>
          </w:p>
        </w:tc>
      </w:tr>
      <w:tr w14:paraId="59C88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399" w:type="pct"/>
            <w:noWrap/>
            <w:vAlign w:val="center"/>
          </w:tcPr>
          <w:p w14:paraId="7ECD0720">
            <w:pPr>
              <w:shd w:val="clear" w:color="auto"/>
              <w:jc w:val="center"/>
              <w:rPr>
                <w:rFonts w:ascii="宋体" w:hAnsi="宋体" w:cs="宋体"/>
                <w:color w:val="auto"/>
                <w:sz w:val="24"/>
                <w:szCs w:val="15"/>
                <w:highlight w:val="none"/>
              </w:rPr>
            </w:pPr>
            <w:r>
              <w:rPr>
                <w:rFonts w:hint="eastAsia" w:ascii="宋体" w:hAnsi="宋体" w:cs="宋体"/>
                <w:color w:val="auto"/>
                <w:sz w:val="24"/>
                <w:szCs w:val="15"/>
                <w:highlight w:val="none"/>
              </w:rPr>
              <w:t>……</w:t>
            </w:r>
          </w:p>
        </w:tc>
        <w:tc>
          <w:tcPr>
            <w:tcW w:w="578" w:type="pct"/>
            <w:noWrap/>
            <w:vAlign w:val="center"/>
          </w:tcPr>
          <w:p w14:paraId="3A548EEC">
            <w:pPr>
              <w:shd w:val="clear" w:color="auto"/>
              <w:jc w:val="center"/>
              <w:rPr>
                <w:rFonts w:ascii="宋体" w:hAnsi="宋体" w:cs="宋体"/>
                <w:color w:val="auto"/>
                <w:sz w:val="24"/>
                <w:szCs w:val="15"/>
                <w:highlight w:val="none"/>
              </w:rPr>
            </w:pPr>
          </w:p>
        </w:tc>
        <w:tc>
          <w:tcPr>
            <w:tcW w:w="368" w:type="pct"/>
            <w:noWrap/>
            <w:vAlign w:val="center"/>
          </w:tcPr>
          <w:p w14:paraId="55D44844">
            <w:pPr>
              <w:shd w:val="clear" w:color="auto"/>
              <w:jc w:val="center"/>
              <w:rPr>
                <w:rFonts w:ascii="宋体" w:hAnsi="宋体" w:cs="宋体"/>
                <w:color w:val="auto"/>
                <w:sz w:val="24"/>
                <w:szCs w:val="15"/>
                <w:highlight w:val="none"/>
              </w:rPr>
            </w:pPr>
          </w:p>
        </w:tc>
        <w:tc>
          <w:tcPr>
            <w:tcW w:w="795" w:type="pct"/>
            <w:noWrap/>
            <w:vAlign w:val="center"/>
          </w:tcPr>
          <w:p w14:paraId="47987339">
            <w:pPr>
              <w:shd w:val="clear" w:color="auto"/>
              <w:jc w:val="center"/>
              <w:rPr>
                <w:rFonts w:ascii="宋体" w:hAnsi="宋体" w:cs="宋体"/>
                <w:color w:val="auto"/>
                <w:sz w:val="24"/>
                <w:szCs w:val="15"/>
                <w:highlight w:val="none"/>
              </w:rPr>
            </w:pPr>
          </w:p>
        </w:tc>
        <w:tc>
          <w:tcPr>
            <w:tcW w:w="662" w:type="pct"/>
            <w:noWrap/>
            <w:vAlign w:val="center"/>
          </w:tcPr>
          <w:p w14:paraId="0380A1A6">
            <w:pPr>
              <w:shd w:val="clear" w:color="auto"/>
              <w:jc w:val="center"/>
              <w:rPr>
                <w:rFonts w:ascii="宋体" w:hAnsi="宋体" w:cs="宋体"/>
                <w:color w:val="auto"/>
                <w:sz w:val="24"/>
                <w:szCs w:val="15"/>
                <w:highlight w:val="none"/>
              </w:rPr>
            </w:pPr>
          </w:p>
        </w:tc>
        <w:tc>
          <w:tcPr>
            <w:tcW w:w="662" w:type="pct"/>
            <w:noWrap/>
            <w:vAlign w:val="center"/>
          </w:tcPr>
          <w:p w14:paraId="22F7323A">
            <w:pPr>
              <w:shd w:val="clear" w:color="auto"/>
              <w:jc w:val="center"/>
              <w:rPr>
                <w:rFonts w:ascii="宋体" w:hAnsi="宋体" w:cs="宋体"/>
                <w:color w:val="auto"/>
                <w:sz w:val="24"/>
                <w:szCs w:val="15"/>
                <w:highlight w:val="none"/>
              </w:rPr>
            </w:pPr>
          </w:p>
        </w:tc>
        <w:tc>
          <w:tcPr>
            <w:tcW w:w="508" w:type="pct"/>
            <w:noWrap/>
            <w:vAlign w:val="center"/>
          </w:tcPr>
          <w:p w14:paraId="09618B39">
            <w:pPr>
              <w:shd w:val="clear" w:color="auto"/>
              <w:jc w:val="center"/>
              <w:rPr>
                <w:rFonts w:ascii="宋体" w:hAnsi="宋体" w:cs="宋体"/>
                <w:color w:val="auto"/>
                <w:sz w:val="24"/>
                <w:szCs w:val="15"/>
                <w:highlight w:val="none"/>
              </w:rPr>
            </w:pPr>
          </w:p>
        </w:tc>
        <w:tc>
          <w:tcPr>
            <w:tcW w:w="522" w:type="pct"/>
            <w:noWrap/>
            <w:vAlign w:val="center"/>
          </w:tcPr>
          <w:p w14:paraId="6DE615DF">
            <w:pPr>
              <w:shd w:val="clear" w:color="auto"/>
              <w:jc w:val="center"/>
              <w:rPr>
                <w:rFonts w:ascii="宋体" w:hAnsi="宋体" w:cs="宋体"/>
                <w:color w:val="auto"/>
                <w:sz w:val="24"/>
                <w:szCs w:val="15"/>
                <w:highlight w:val="none"/>
              </w:rPr>
            </w:pPr>
          </w:p>
        </w:tc>
        <w:tc>
          <w:tcPr>
            <w:tcW w:w="501" w:type="pct"/>
            <w:noWrap/>
            <w:vAlign w:val="center"/>
          </w:tcPr>
          <w:p w14:paraId="14E336D3">
            <w:pPr>
              <w:shd w:val="clear" w:color="auto"/>
              <w:jc w:val="center"/>
              <w:rPr>
                <w:rFonts w:ascii="宋体" w:hAnsi="宋体" w:cs="宋体"/>
                <w:color w:val="auto"/>
                <w:sz w:val="24"/>
                <w:szCs w:val="15"/>
                <w:highlight w:val="none"/>
              </w:rPr>
            </w:pPr>
          </w:p>
        </w:tc>
      </w:tr>
      <w:tr w14:paraId="2100F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977" w:type="pct"/>
            <w:gridSpan w:val="2"/>
            <w:noWrap/>
            <w:vAlign w:val="center"/>
          </w:tcPr>
          <w:p w14:paraId="6F9FCADF">
            <w:pPr>
              <w:shd w:val="clear" w:color="auto"/>
              <w:jc w:val="center"/>
              <w:rPr>
                <w:rFonts w:ascii="宋体" w:hAnsi="宋体" w:cs="宋体"/>
                <w:color w:val="auto"/>
                <w:sz w:val="24"/>
                <w:szCs w:val="15"/>
                <w:highlight w:val="none"/>
              </w:rPr>
            </w:pPr>
            <w:r>
              <w:rPr>
                <w:rFonts w:hint="eastAsia" w:ascii="宋体" w:hAnsi="宋体" w:cs="宋体"/>
                <w:color w:val="auto"/>
                <w:sz w:val="24"/>
                <w:szCs w:val="15"/>
                <w:highlight w:val="none"/>
              </w:rPr>
              <w:t>合计：</w:t>
            </w:r>
          </w:p>
        </w:tc>
        <w:tc>
          <w:tcPr>
            <w:tcW w:w="368" w:type="pct"/>
            <w:noWrap/>
            <w:vAlign w:val="center"/>
          </w:tcPr>
          <w:p w14:paraId="5764C2E3">
            <w:pPr>
              <w:shd w:val="clear" w:color="auto"/>
              <w:jc w:val="center"/>
              <w:rPr>
                <w:rFonts w:ascii="宋体" w:hAnsi="宋体" w:cs="宋体"/>
                <w:color w:val="auto"/>
                <w:sz w:val="24"/>
                <w:szCs w:val="15"/>
                <w:highlight w:val="none"/>
              </w:rPr>
            </w:pPr>
          </w:p>
        </w:tc>
        <w:tc>
          <w:tcPr>
            <w:tcW w:w="795" w:type="pct"/>
            <w:noWrap/>
            <w:vAlign w:val="center"/>
          </w:tcPr>
          <w:p w14:paraId="7CCD3456">
            <w:pPr>
              <w:shd w:val="clear" w:color="auto"/>
              <w:jc w:val="center"/>
              <w:rPr>
                <w:rFonts w:ascii="宋体" w:hAnsi="宋体" w:cs="宋体"/>
                <w:color w:val="auto"/>
                <w:sz w:val="24"/>
                <w:szCs w:val="15"/>
                <w:highlight w:val="none"/>
              </w:rPr>
            </w:pPr>
          </w:p>
        </w:tc>
        <w:tc>
          <w:tcPr>
            <w:tcW w:w="662" w:type="pct"/>
            <w:noWrap/>
            <w:vAlign w:val="center"/>
          </w:tcPr>
          <w:p w14:paraId="23E58D23">
            <w:pPr>
              <w:shd w:val="clear" w:color="auto"/>
              <w:jc w:val="center"/>
              <w:rPr>
                <w:rFonts w:ascii="宋体" w:hAnsi="宋体" w:cs="宋体"/>
                <w:color w:val="auto"/>
                <w:sz w:val="24"/>
                <w:szCs w:val="15"/>
                <w:highlight w:val="none"/>
              </w:rPr>
            </w:pPr>
          </w:p>
        </w:tc>
        <w:tc>
          <w:tcPr>
            <w:tcW w:w="662" w:type="pct"/>
            <w:noWrap/>
            <w:vAlign w:val="center"/>
          </w:tcPr>
          <w:p w14:paraId="5BA77BA6">
            <w:pPr>
              <w:shd w:val="clear" w:color="auto"/>
              <w:jc w:val="center"/>
              <w:rPr>
                <w:rFonts w:ascii="宋体" w:hAnsi="宋体" w:cs="宋体"/>
                <w:color w:val="auto"/>
                <w:sz w:val="24"/>
                <w:szCs w:val="15"/>
                <w:highlight w:val="none"/>
              </w:rPr>
            </w:pPr>
          </w:p>
        </w:tc>
        <w:tc>
          <w:tcPr>
            <w:tcW w:w="508" w:type="pct"/>
            <w:noWrap/>
            <w:vAlign w:val="center"/>
          </w:tcPr>
          <w:p w14:paraId="3F9E7C3F">
            <w:pPr>
              <w:shd w:val="clear" w:color="auto"/>
              <w:jc w:val="center"/>
              <w:rPr>
                <w:rFonts w:ascii="宋体" w:hAnsi="宋体" w:cs="宋体"/>
                <w:color w:val="auto"/>
                <w:sz w:val="24"/>
                <w:szCs w:val="15"/>
                <w:highlight w:val="none"/>
              </w:rPr>
            </w:pPr>
          </w:p>
        </w:tc>
        <w:tc>
          <w:tcPr>
            <w:tcW w:w="522" w:type="pct"/>
            <w:noWrap/>
            <w:vAlign w:val="center"/>
          </w:tcPr>
          <w:p w14:paraId="17E0DCD0">
            <w:pPr>
              <w:shd w:val="clear" w:color="auto"/>
              <w:jc w:val="center"/>
              <w:rPr>
                <w:rFonts w:ascii="宋体" w:hAnsi="宋体" w:cs="宋体"/>
                <w:color w:val="auto"/>
                <w:sz w:val="24"/>
                <w:szCs w:val="15"/>
                <w:highlight w:val="none"/>
              </w:rPr>
            </w:pPr>
          </w:p>
        </w:tc>
        <w:tc>
          <w:tcPr>
            <w:tcW w:w="501" w:type="pct"/>
            <w:noWrap/>
            <w:vAlign w:val="center"/>
          </w:tcPr>
          <w:p w14:paraId="0829D978">
            <w:pPr>
              <w:shd w:val="clear" w:color="auto"/>
              <w:jc w:val="center"/>
              <w:rPr>
                <w:rFonts w:ascii="宋体" w:hAnsi="宋体" w:cs="宋体"/>
                <w:color w:val="auto"/>
                <w:sz w:val="24"/>
                <w:szCs w:val="15"/>
                <w:highlight w:val="none"/>
              </w:rPr>
            </w:pPr>
          </w:p>
        </w:tc>
      </w:tr>
    </w:tbl>
    <w:p w14:paraId="7939FF9A">
      <w:pPr>
        <w:shd w:val="clear" w:color="auto"/>
        <w:spacing w:line="400" w:lineRule="exact"/>
        <w:rPr>
          <w:rFonts w:hAnsi="宋体"/>
          <w:bCs/>
          <w:color w:val="auto"/>
          <w:szCs w:val="21"/>
          <w:highlight w:val="none"/>
        </w:rPr>
      </w:pPr>
      <w:r>
        <w:rPr>
          <w:rFonts w:hint="eastAsia"/>
          <w:b/>
          <w:bCs/>
          <w:color w:val="auto"/>
          <w:sz w:val="24"/>
          <w:highlight w:val="none"/>
        </w:rPr>
        <w:t>法定代表人或法定代表人授权代表签字或盖章：</w:t>
      </w:r>
    </w:p>
    <w:p w14:paraId="53142693">
      <w:pPr>
        <w:shd w:val="clear" w:color="auto"/>
        <w:tabs>
          <w:tab w:val="left" w:pos="525"/>
          <w:tab w:val="left" w:pos="945"/>
        </w:tabs>
        <w:spacing w:line="360" w:lineRule="auto"/>
        <w:ind w:firstLine="480"/>
        <w:rPr>
          <w:rFonts w:hAnsi="宋体"/>
          <w:bCs/>
          <w:color w:val="auto"/>
          <w:sz w:val="24"/>
          <w:szCs w:val="16"/>
          <w:highlight w:val="none"/>
        </w:rPr>
      </w:pPr>
      <w:r>
        <w:rPr>
          <w:rFonts w:hint="eastAsia" w:hAnsi="宋体"/>
          <w:bCs/>
          <w:color w:val="auto"/>
          <w:sz w:val="24"/>
          <w:szCs w:val="16"/>
          <w:highlight w:val="none"/>
        </w:rPr>
        <w:t>注：1、</w:t>
      </w:r>
      <w:r>
        <w:rPr>
          <w:rFonts w:hint="eastAsia" w:ascii="宋体" w:hAnsi="宋体"/>
          <w:color w:val="auto"/>
          <w:sz w:val="24"/>
          <w:highlight w:val="none"/>
        </w:rPr>
        <w:t>员工工资、社保费用、公积金、税金、保险等法定费用为不可让利部分（不可竞争费用），须按规定计算并报出（按国家规定可不缴纳社保的人员除外），投标总报价不可低于上述相关费用合计，否则作无效投标处理。</w:t>
      </w:r>
    </w:p>
    <w:p w14:paraId="72F1D128">
      <w:pPr>
        <w:shd w:val="clear" w:color="auto"/>
        <w:spacing w:line="400" w:lineRule="exact"/>
        <w:rPr>
          <w:rFonts w:hAnsi="宋体"/>
          <w:bCs/>
          <w:color w:val="auto"/>
          <w:sz w:val="24"/>
          <w:szCs w:val="16"/>
          <w:highlight w:val="none"/>
        </w:rPr>
      </w:pPr>
      <w:r>
        <w:rPr>
          <w:rFonts w:hint="eastAsia" w:hAnsi="宋体"/>
          <w:bCs/>
          <w:color w:val="auto"/>
          <w:sz w:val="24"/>
          <w:szCs w:val="16"/>
          <w:highlight w:val="none"/>
        </w:rPr>
        <w:t>　　2、上述报价表由投标单位参照，不限于此，可根据采购需求自行添加条目进行投报。</w:t>
      </w:r>
      <w:r>
        <w:rPr>
          <w:rFonts w:hint="eastAsia" w:hAnsi="宋体"/>
          <w:bCs/>
          <w:color w:val="auto"/>
          <w:sz w:val="24"/>
          <w:highlight w:val="none"/>
        </w:rPr>
        <w:br w:type="page" w:clear="all"/>
      </w:r>
    </w:p>
    <w:p w14:paraId="3A5C8D5A">
      <w:pPr>
        <w:shd w:val="clear" w:color="auto"/>
        <w:spacing w:line="400" w:lineRule="exact"/>
        <w:jc w:val="center"/>
        <w:rPr>
          <w:rFonts w:ascii="黑体" w:eastAsia="黑体"/>
          <w:bCs/>
          <w:color w:val="auto"/>
          <w:sz w:val="24"/>
          <w:highlight w:val="none"/>
        </w:rPr>
      </w:pPr>
      <w:r>
        <w:rPr>
          <w:rFonts w:hint="eastAsia" w:ascii="黑体" w:eastAsia="黑体"/>
          <w:bCs/>
          <w:color w:val="auto"/>
          <w:sz w:val="24"/>
          <w:highlight w:val="none"/>
        </w:rPr>
        <w:t>（2）投入本项目的低值易耗用品明细表</w:t>
      </w:r>
    </w:p>
    <w:p w14:paraId="20636917">
      <w:pPr>
        <w:shd w:val="clear" w:color="auto"/>
        <w:spacing w:line="400" w:lineRule="exact"/>
        <w:jc w:val="center"/>
        <w:rPr>
          <w:rFonts w:hAnsi="宋体"/>
          <w:b/>
          <w:bCs/>
          <w:color w:val="auto"/>
          <w:sz w:val="24"/>
          <w:highlight w:val="none"/>
        </w:rPr>
      </w:pPr>
    </w:p>
    <w:p w14:paraId="1B0FBFB9">
      <w:pPr>
        <w:shd w:val="clear" w:color="auto"/>
        <w:spacing w:line="400" w:lineRule="exact"/>
        <w:jc w:val="center"/>
        <w:rPr>
          <w:rFonts w:hAnsi="宋体"/>
          <w:bCs/>
          <w:color w:val="auto"/>
          <w:sz w:val="24"/>
          <w:highlight w:val="none"/>
        </w:rPr>
      </w:pPr>
      <w:r>
        <w:rPr>
          <w:rFonts w:hint="eastAsia" w:ascii="黑体" w:eastAsia="黑体"/>
          <w:bCs/>
          <w:color w:val="auto"/>
          <w:sz w:val="24"/>
          <w:highlight w:val="none"/>
          <w:lang w:eastAsia="zh-CN"/>
        </w:rPr>
        <w:t>供应商</w:t>
      </w:r>
      <w:r>
        <w:rPr>
          <w:rFonts w:hint="eastAsia" w:ascii="黑体" w:eastAsia="黑体"/>
          <w:bCs/>
          <w:color w:val="auto"/>
          <w:sz w:val="24"/>
          <w:highlight w:val="none"/>
        </w:rPr>
        <w:t>名称（盖章）                                  采购项目编号：</w:t>
      </w:r>
    </w:p>
    <w:tbl>
      <w:tblPr>
        <w:tblStyle w:val="3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
        <w:gridCol w:w="719"/>
        <w:gridCol w:w="468"/>
        <w:gridCol w:w="468"/>
        <w:gridCol w:w="468"/>
        <w:gridCol w:w="846"/>
        <w:gridCol w:w="1287"/>
        <w:gridCol w:w="1287"/>
        <w:gridCol w:w="1382"/>
        <w:gridCol w:w="1382"/>
        <w:gridCol w:w="468"/>
      </w:tblGrid>
      <w:tr w14:paraId="0A27B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270" w:type="pct"/>
            <w:noWrap/>
            <w:vAlign w:val="center"/>
          </w:tcPr>
          <w:p w14:paraId="793D7634">
            <w:pPr>
              <w:shd w:val="clear" w:color="auto"/>
              <w:jc w:val="center"/>
              <w:rPr>
                <w:rFonts w:ascii="宋体" w:hAnsi="宋体" w:cs="宋体"/>
                <w:b/>
                <w:color w:val="auto"/>
                <w:sz w:val="24"/>
                <w:highlight w:val="none"/>
              </w:rPr>
            </w:pPr>
            <w:r>
              <w:rPr>
                <w:rFonts w:hint="eastAsia" w:ascii="宋体" w:hAnsi="宋体" w:cs="宋体"/>
                <w:b/>
                <w:color w:val="auto"/>
                <w:sz w:val="24"/>
                <w:highlight w:val="none"/>
              </w:rPr>
              <w:t>序号</w:t>
            </w:r>
          </w:p>
        </w:tc>
        <w:tc>
          <w:tcPr>
            <w:tcW w:w="430" w:type="pct"/>
            <w:noWrap/>
            <w:vAlign w:val="center"/>
          </w:tcPr>
          <w:p w14:paraId="4196AF49">
            <w:pPr>
              <w:shd w:val="clear" w:color="auto"/>
              <w:rPr>
                <w:rFonts w:ascii="宋体" w:hAnsi="宋体" w:cs="宋体"/>
                <w:b/>
                <w:color w:val="auto"/>
                <w:sz w:val="24"/>
                <w:highlight w:val="none"/>
              </w:rPr>
            </w:pPr>
            <w:r>
              <w:rPr>
                <w:rFonts w:hint="eastAsia" w:ascii="宋体" w:hAnsi="宋体" w:cs="宋体"/>
                <w:b/>
                <w:color w:val="auto"/>
                <w:sz w:val="24"/>
                <w:highlight w:val="none"/>
              </w:rPr>
              <w:t>物品名称</w:t>
            </w:r>
          </w:p>
        </w:tc>
        <w:tc>
          <w:tcPr>
            <w:tcW w:w="270" w:type="pct"/>
            <w:noWrap/>
            <w:vAlign w:val="center"/>
          </w:tcPr>
          <w:p w14:paraId="58123D8C">
            <w:pPr>
              <w:shd w:val="clear" w:color="auto"/>
              <w:rPr>
                <w:rFonts w:ascii="宋体" w:hAnsi="宋体" w:cs="宋体"/>
                <w:b/>
                <w:color w:val="auto"/>
                <w:sz w:val="24"/>
                <w:highlight w:val="none"/>
              </w:rPr>
            </w:pPr>
            <w:r>
              <w:rPr>
                <w:rFonts w:hint="eastAsia" w:ascii="宋体" w:hAnsi="宋体" w:cs="宋体"/>
                <w:b/>
                <w:color w:val="auto"/>
                <w:sz w:val="24"/>
                <w:highlight w:val="none"/>
              </w:rPr>
              <w:t>品牌</w:t>
            </w:r>
          </w:p>
          <w:p w14:paraId="177954E9">
            <w:pPr>
              <w:shd w:val="clear" w:color="auto"/>
              <w:rPr>
                <w:rFonts w:ascii="宋体" w:hAnsi="宋体" w:cs="宋体"/>
                <w:b/>
                <w:color w:val="auto"/>
                <w:sz w:val="24"/>
                <w:highlight w:val="none"/>
              </w:rPr>
            </w:pPr>
            <w:r>
              <w:rPr>
                <w:rFonts w:hint="eastAsia" w:ascii="宋体" w:hAnsi="宋体" w:cs="宋体"/>
                <w:b/>
                <w:color w:val="auto"/>
                <w:sz w:val="24"/>
                <w:highlight w:val="none"/>
              </w:rPr>
              <w:t>型号</w:t>
            </w:r>
          </w:p>
        </w:tc>
        <w:tc>
          <w:tcPr>
            <w:tcW w:w="270" w:type="pct"/>
            <w:noWrap/>
            <w:vAlign w:val="center"/>
          </w:tcPr>
          <w:p w14:paraId="653B1681">
            <w:pPr>
              <w:shd w:val="clear" w:color="auto"/>
              <w:jc w:val="center"/>
              <w:rPr>
                <w:rFonts w:ascii="宋体" w:hAnsi="宋体" w:cs="宋体"/>
                <w:b/>
                <w:color w:val="auto"/>
                <w:sz w:val="24"/>
                <w:highlight w:val="none"/>
              </w:rPr>
            </w:pPr>
            <w:r>
              <w:rPr>
                <w:rFonts w:hint="eastAsia" w:ascii="宋体" w:hAnsi="宋体" w:cs="宋体"/>
                <w:b/>
                <w:color w:val="auto"/>
                <w:sz w:val="24"/>
                <w:highlight w:val="none"/>
              </w:rPr>
              <w:t>数量</w:t>
            </w:r>
          </w:p>
        </w:tc>
        <w:tc>
          <w:tcPr>
            <w:tcW w:w="270" w:type="pct"/>
            <w:noWrap/>
            <w:vAlign w:val="center"/>
          </w:tcPr>
          <w:p w14:paraId="092FEBA3">
            <w:pPr>
              <w:shd w:val="clear" w:color="auto"/>
              <w:jc w:val="center"/>
              <w:rPr>
                <w:rFonts w:ascii="宋体" w:hAnsi="宋体" w:cs="宋体"/>
                <w:b/>
                <w:color w:val="auto"/>
                <w:sz w:val="24"/>
                <w:highlight w:val="none"/>
              </w:rPr>
            </w:pPr>
            <w:r>
              <w:rPr>
                <w:rFonts w:hint="eastAsia" w:ascii="宋体" w:hAnsi="宋体" w:cs="宋体"/>
                <w:b/>
                <w:color w:val="auto"/>
                <w:sz w:val="24"/>
                <w:highlight w:val="none"/>
              </w:rPr>
              <w:t>单位</w:t>
            </w:r>
          </w:p>
        </w:tc>
        <w:tc>
          <w:tcPr>
            <w:tcW w:w="510" w:type="pct"/>
            <w:noWrap/>
            <w:vAlign w:val="center"/>
          </w:tcPr>
          <w:p w14:paraId="19BAE0D7">
            <w:pPr>
              <w:shd w:val="clear" w:color="auto"/>
              <w:jc w:val="center"/>
              <w:rPr>
                <w:rFonts w:ascii="宋体" w:hAnsi="宋体" w:cs="宋体"/>
                <w:b/>
                <w:color w:val="auto"/>
                <w:sz w:val="24"/>
                <w:highlight w:val="none"/>
              </w:rPr>
            </w:pPr>
            <w:r>
              <w:rPr>
                <w:rFonts w:hint="eastAsia" w:ascii="宋体" w:hAnsi="宋体" w:cs="宋体"/>
                <w:b/>
                <w:color w:val="auto"/>
                <w:sz w:val="24"/>
                <w:highlight w:val="none"/>
              </w:rPr>
              <w:t>单价（元）</w:t>
            </w:r>
          </w:p>
        </w:tc>
        <w:tc>
          <w:tcPr>
            <w:tcW w:w="791" w:type="pct"/>
            <w:noWrap/>
            <w:vAlign w:val="center"/>
          </w:tcPr>
          <w:p w14:paraId="6134BF55">
            <w:pPr>
              <w:shd w:val="clear" w:color="auto"/>
              <w:jc w:val="center"/>
              <w:rPr>
                <w:rFonts w:ascii="宋体" w:hAnsi="宋体" w:cs="宋体"/>
                <w:b/>
                <w:color w:val="auto"/>
                <w:sz w:val="24"/>
                <w:highlight w:val="none"/>
              </w:rPr>
            </w:pPr>
            <w:r>
              <w:rPr>
                <w:rFonts w:hint="eastAsia" w:ascii="宋体" w:hAnsi="宋体" w:cs="宋体"/>
                <w:b/>
                <w:color w:val="auto"/>
                <w:sz w:val="24"/>
                <w:highlight w:val="none"/>
              </w:rPr>
              <w:t>合计费用（元/月）</w:t>
            </w:r>
          </w:p>
        </w:tc>
        <w:tc>
          <w:tcPr>
            <w:tcW w:w="791" w:type="pct"/>
            <w:noWrap/>
            <w:vAlign w:val="center"/>
          </w:tcPr>
          <w:p w14:paraId="05C4C31B">
            <w:pPr>
              <w:shd w:val="clear" w:color="auto"/>
              <w:jc w:val="center"/>
              <w:rPr>
                <w:rFonts w:ascii="宋体" w:hAnsi="宋体" w:cs="宋体"/>
                <w:b/>
                <w:color w:val="auto"/>
                <w:sz w:val="24"/>
                <w:highlight w:val="none"/>
              </w:rPr>
            </w:pPr>
            <w:r>
              <w:rPr>
                <w:rFonts w:hint="eastAsia" w:ascii="宋体" w:hAnsi="宋体" w:cs="宋体"/>
                <w:b/>
                <w:color w:val="auto"/>
                <w:sz w:val="24"/>
                <w:highlight w:val="none"/>
              </w:rPr>
              <w:t>合计费用（元/年）</w:t>
            </w:r>
          </w:p>
        </w:tc>
        <w:tc>
          <w:tcPr>
            <w:tcW w:w="851" w:type="pct"/>
            <w:noWrap/>
            <w:vAlign w:val="center"/>
          </w:tcPr>
          <w:p w14:paraId="55144C32">
            <w:pPr>
              <w:shd w:val="clear" w:color="auto"/>
              <w:jc w:val="center"/>
              <w:rPr>
                <w:rFonts w:ascii="宋体" w:hAnsi="宋体" w:cs="宋体"/>
                <w:b/>
                <w:color w:val="auto"/>
                <w:sz w:val="24"/>
                <w:highlight w:val="none"/>
              </w:rPr>
            </w:pPr>
            <w:r>
              <w:rPr>
                <w:rFonts w:hint="eastAsia" w:ascii="宋体" w:hAnsi="宋体" w:cs="宋体"/>
                <w:b/>
                <w:color w:val="auto"/>
                <w:sz w:val="24"/>
                <w:highlight w:val="none"/>
              </w:rPr>
              <w:t>合计费用（元/2年）</w:t>
            </w:r>
          </w:p>
        </w:tc>
        <w:tc>
          <w:tcPr>
            <w:tcW w:w="271" w:type="pct"/>
            <w:noWrap/>
            <w:vAlign w:val="center"/>
          </w:tcPr>
          <w:p w14:paraId="6A6E9C10">
            <w:pPr>
              <w:shd w:val="clear" w:color="auto"/>
              <w:jc w:val="center"/>
              <w:rPr>
                <w:rFonts w:hint="eastAsia" w:ascii="宋体" w:hAnsi="宋体" w:cs="宋体"/>
                <w:b/>
                <w:color w:val="auto"/>
                <w:sz w:val="24"/>
                <w:highlight w:val="none"/>
              </w:rPr>
            </w:pPr>
            <w:r>
              <w:rPr>
                <w:rFonts w:hint="eastAsia" w:ascii="宋体" w:hAnsi="宋体" w:cs="宋体"/>
                <w:b/>
                <w:color w:val="auto"/>
                <w:sz w:val="24"/>
                <w:szCs w:val="16"/>
                <w:highlight w:val="none"/>
              </w:rPr>
              <w:t>合计费用（元/</w:t>
            </w:r>
            <w:r>
              <w:rPr>
                <w:rFonts w:hint="eastAsia" w:ascii="宋体" w:hAnsi="宋体" w:cs="宋体"/>
                <w:b/>
                <w:color w:val="auto"/>
                <w:sz w:val="24"/>
                <w:szCs w:val="16"/>
                <w:highlight w:val="none"/>
                <w:lang w:val="en-US" w:eastAsia="zh-CN"/>
              </w:rPr>
              <w:t>3</w:t>
            </w:r>
            <w:r>
              <w:rPr>
                <w:rFonts w:hint="eastAsia" w:ascii="宋体" w:hAnsi="宋体" w:cs="宋体"/>
                <w:b/>
                <w:color w:val="auto"/>
                <w:sz w:val="24"/>
                <w:szCs w:val="16"/>
                <w:highlight w:val="none"/>
              </w:rPr>
              <w:t>年）</w:t>
            </w:r>
          </w:p>
        </w:tc>
        <w:tc>
          <w:tcPr>
            <w:tcW w:w="271" w:type="pct"/>
            <w:noWrap/>
            <w:vAlign w:val="center"/>
          </w:tcPr>
          <w:p w14:paraId="54106CC6">
            <w:pPr>
              <w:shd w:val="clear" w:color="auto"/>
              <w:jc w:val="center"/>
              <w:rPr>
                <w:rFonts w:ascii="宋体" w:hAnsi="宋体" w:cs="宋体"/>
                <w:b/>
                <w:color w:val="auto"/>
                <w:sz w:val="24"/>
                <w:highlight w:val="none"/>
              </w:rPr>
            </w:pPr>
            <w:r>
              <w:rPr>
                <w:rFonts w:hint="eastAsia" w:ascii="宋体" w:hAnsi="宋体" w:cs="宋体"/>
                <w:b/>
                <w:color w:val="auto"/>
                <w:sz w:val="24"/>
                <w:highlight w:val="none"/>
              </w:rPr>
              <w:t>产地</w:t>
            </w:r>
          </w:p>
        </w:tc>
      </w:tr>
      <w:tr w14:paraId="014E0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270" w:type="pct"/>
            <w:noWrap/>
            <w:vAlign w:val="center"/>
          </w:tcPr>
          <w:p w14:paraId="63ED806F">
            <w:pPr>
              <w:shd w:val="clear" w:color="auto"/>
              <w:jc w:val="center"/>
              <w:rPr>
                <w:rFonts w:ascii="宋体" w:hAnsi="宋体" w:cs="宋体"/>
                <w:color w:val="auto"/>
                <w:sz w:val="24"/>
                <w:highlight w:val="none"/>
              </w:rPr>
            </w:pPr>
            <w:r>
              <w:rPr>
                <w:rFonts w:hint="eastAsia" w:ascii="宋体" w:hAnsi="宋体" w:cs="宋体"/>
                <w:color w:val="auto"/>
                <w:sz w:val="24"/>
                <w:highlight w:val="none"/>
              </w:rPr>
              <w:t>1</w:t>
            </w:r>
          </w:p>
        </w:tc>
        <w:tc>
          <w:tcPr>
            <w:tcW w:w="430" w:type="pct"/>
            <w:noWrap/>
            <w:vAlign w:val="center"/>
          </w:tcPr>
          <w:p w14:paraId="1912983F">
            <w:pPr>
              <w:shd w:val="clear" w:color="auto"/>
              <w:jc w:val="center"/>
              <w:rPr>
                <w:rFonts w:ascii="宋体" w:hAnsi="宋体" w:cs="宋体"/>
                <w:b/>
                <w:color w:val="auto"/>
                <w:sz w:val="24"/>
                <w:highlight w:val="none"/>
              </w:rPr>
            </w:pPr>
          </w:p>
        </w:tc>
        <w:tc>
          <w:tcPr>
            <w:tcW w:w="270" w:type="pct"/>
            <w:noWrap/>
            <w:vAlign w:val="center"/>
          </w:tcPr>
          <w:p w14:paraId="0045192B">
            <w:pPr>
              <w:shd w:val="clear" w:color="auto"/>
              <w:jc w:val="center"/>
              <w:rPr>
                <w:rFonts w:ascii="宋体" w:hAnsi="宋体" w:cs="宋体"/>
                <w:b/>
                <w:color w:val="auto"/>
                <w:sz w:val="24"/>
                <w:highlight w:val="none"/>
              </w:rPr>
            </w:pPr>
          </w:p>
        </w:tc>
        <w:tc>
          <w:tcPr>
            <w:tcW w:w="270" w:type="pct"/>
            <w:noWrap/>
            <w:vAlign w:val="center"/>
          </w:tcPr>
          <w:p w14:paraId="3697CA19">
            <w:pPr>
              <w:shd w:val="clear" w:color="auto"/>
              <w:jc w:val="center"/>
              <w:rPr>
                <w:rFonts w:ascii="宋体" w:hAnsi="宋体" w:cs="宋体"/>
                <w:color w:val="auto"/>
                <w:sz w:val="24"/>
                <w:highlight w:val="none"/>
              </w:rPr>
            </w:pPr>
          </w:p>
        </w:tc>
        <w:tc>
          <w:tcPr>
            <w:tcW w:w="270" w:type="pct"/>
            <w:noWrap/>
            <w:vAlign w:val="center"/>
          </w:tcPr>
          <w:p w14:paraId="550117CB">
            <w:pPr>
              <w:shd w:val="clear" w:color="auto"/>
              <w:jc w:val="center"/>
              <w:rPr>
                <w:rFonts w:ascii="宋体" w:hAnsi="宋体" w:cs="宋体"/>
                <w:color w:val="auto"/>
                <w:sz w:val="24"/>
                <w:highlight w:val="none"/>
              </w:rPr>
            </w:pPr>
          </w:p>
        </w:tc>
        <w:tc>
          <w:tcPr>
            <w:tcW w:w="510" w:type="pct"/>
            <w:noWrap/>
            <w:vAlign w:val="center"/>
          </w:tcPr>
          <w:p w14:paraId="3F19DED5">
            <w:pPr>
              <w:shd w:val="clear" w:color="auto"/>
              <w:jc w:val="center"/>
              <w:rPr>
                <w:rFonts w:ascii="宋体" w:hAnsi="宋体" w:cs="宋体"/>
                <w:color w:val="auto"/>
                <w:sz w:val="24"/>
                <w:highlight w:val="none"/>
              </w:rPr>
            </w:pPr>
          </w:p>
        </w:tc>
        <w:tc>
          <w:tcPr>
            <w:tcW w:w="791" w:type="pct"/>
            <w:noWrap/>
            <w:vAlign w:val="center"/>
          </w:tcPr>
          <w:p w14:paraId="7FEDC603">
            <w:pPr>
              <w:shd w:val="clear" w:color="auto"/>
              <w:jc w:val="center"/>
              <w:rPr>
                <w:rFonts w:ascii="宋体" w:hAnsi="宋体" w:cs="宋体"/>
                <w:color w:val="auto"/>
                <w:sz w:val="24"/>
                <w:highlight w:val="none"/>
              </w:rPr>
            </w:pPr>
          </w:p>
        </w:tc>
        <w:tc>
          <w:tcPr>
            <w:tcW w:w="791" w:type="pct"/>
            <w:noWrap/>
            <w:vAlign w:val="center"/>
          </w:tcPr>
          <w:p w14:paraId="5CD914EC">
            <w:pPr>
              <w:shd w:val="clear" w:color="auto"/>
              <w:jc w:val="center"/>
              <w:rPr>
                <w:rFonts w:ascii="宋体" w:hAnsi="宋体" w:cs="宋体"/>
                <w:color w:val="auto"/>
                <w:sz w:val="24"/>
                <w:highlight w:val="none"/>
              </w:rPr>
            </w:pPr>
          </w:p>
        </w:tc>
        <w:tc>
          <w:tcPr>
            <w:tcW w:w="851" w:type="pct"/>
            <w:noWrap/>
            <w:vAlign w:val="center"/>
          </w:tcPr>
          <w:p w14:paraId="328B7FD3">
            <w:pPr>
              <w:shd w:val="clear" w:color="auto"/>
              <w:jc w:val="center"/>
              <w:rPr>
                <w:rFonts w:ascii="宋体" w:hAnsi="宋体" w:cs="宋体"/>
                <w:color w:val="auto"/>
                <w:sz w:val="24"/>
                <w:highlight w:val="none"/>
              </w:rPr>
            </w:pPr>
          </w:p>
        </w:tc>
        <w:tc>
          <w:tcPr>
            <w:tcW w:w="271" w:type="pct"/>
            <w:noWrap/>
            <w:vAlign w:val="center"/>
          </w:tcPr>
          <w:p w14:paraId="26EDA166">
            <w:pPr>
              <w:shd w:val="clear" w:color="auto"/>
              <w:jc w:val="center"/>
              <w:rPr>
                <w:rFonts w:ascii="宋体" w:hAnsi="宋体" w:cs="宋体"/>
                <w:color w:val="auto"/>
                <w:sz w:val="24"/>
                <w:highlight w:val="none"/>
              </w:rPr>
            </w:pPr>
          </w:p>
        </w:tc>
        <w:tc>
          <w:tcPr>
            <w:tcW w:w="271" w:type="pct"/>
            <w:noWrap/>
            <w:vAlign w:val="center"/>
          </w:tcPr>
          <w:p w14:paraId="0CB2F172">
            <w:pPr>
              <w:shd w:val="clear" w:color="auto"/>
              <w:jc w:val="center"/>
              <w:rPr>
                <w:rFonts w:ascii="宋体" w:hAnsi="宋体" w:cs="宋体"/>
                <w:color w:val="auto"/>
                <w:sz w:val="24"/>
                <w:highlight w:val="none"/>
              </w:rPr>
            </w:pPr>
          </w:p>
        </w:tc>
      </w:tr>
      <w:tr w14:paraId="0E7E1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270" w:type="pct"/>
            <w:noWrap/>
            <w:vAlign w:val="center"/>
          </w:tcPr>
          <w:p w14:paraId="5559343E">
            <w:pPr>
              <w:shd w:val="clear" w:color="auto"/>
              <w:jc w:val="center"/>
              <w:rPr>
                <w:rFonts w:ascii="宋体" w:hAnsi="宋体" w:cs="宋体"/>
                <w:color w:val="auto"/>
                <w:sz w:val="24"/>
                <w:highlight w:val="none"/>
              </w:rPr>
            </w:pPr>
            <w:r>
              <w:rPr>
                <w:rFonts w:hint="eastAsia" w:ascii="宋体" w:hAnsi="宋体" w:cs="宋体"/>
                <w:color w:val="auto"/>
                <w:sz w:val="24"/>
                <w:highlight w:val="none"/>
              </w:rPr>
              <w:t>2</w:t>
            </w:r>
          </w:p>
        </w:tc>
        <w:tc>
          <w:tcPr>
            <w:tcW w:w="430" w:type="pct"/>
            <w:noWrap/>
            <w:vAlign w:val="center"/>
          </w:tcPr>
          <w:p w14:paraId="40663012">
            <w:pPr>
              <w:shd w:val="clear" w:color="auto"/>
              <w:jc w:val="center"/>
              <w:rPr>
                <w:rFonts w:ascii="宋体" w:hAnsi="宋体" w:cs="宋体"/>
                <w:b/>
                <w:color w:val="auto"/>
                <w:sz w:val="24"/>
                <w:highlight w:val="none"/>
              </w:rPr>
            </w:pPr>
          </w:p>
        </w:tc>
        <w:tc>
          <w:tcPr>
            <w:tcW w:w="270" w:type="pct"/>
            <w:noWrap/>
            <w:vAlign w:val="center"/>
          </w:tcPr>
          <w:p w14:paraId="44FFC59F">
            <w:pPr>
              <w:shd w:val="clear" w:color="auto"/>
              <w:jc w:val="center"/>
              <w:rPr>
                <w:rFonts w:ascii="宋体" w:hAnsi="宋体" w:cs="宋体"/>
                <w:b/>
                <w:color w:val="auto"/>
                <w:sz w:val="24"/>
                <w:highlight w:val="none"/>
              </w:rPr>
            </w:pPr>
          </w:p>
        </w:tc>
        <w:tc>
          <w:tcPr>
            <w:tcW w:w="270" w:type="pct"/>
            <w:noWrap/>
            <w:vAlign w:val="center"/>
          </w:tcPr>
          <w:p w14:paraId="7B00A635">
            <w:pPr>
              <w:shd w:val="clear" w:color="auto"/>
              <w:jc w:val="center"/>
              <w:rPr>
                <w:rFonts w:ascii="宋体" w:hAnsi="宋体" w:cs="宋体"/>
                <w:color w:val="auto"/>
                <w:sz w:val="24"/>
                <w:highlight w:val="none"/>
              </w:rPr>
            </w:pPr>
          </w:p>
        </w:tc>
        <w:tc>
          <w:tcPr>
            <w:tcW w:w="270" w:type="pct"/>
            <w:noWrap/>
            <w:vAlign w:val="center"/>
          </w:tcPr>
          <w:p w14:paraId="4A257186">
            <w:pPr>
              <w:shd w:val="clear" w:color="auto"/>
              <w:jc w:val="center"/>
              <w:rPr>
                <w:rFonts w:ascii="宋体" w:hAnsi="宋体" w:cs="宋体"/>
                <w:color w:val="auto"/>
                <w:sz w:val="24"/>
                <w:highlight w:val="none"/>
              </w:rPr>
            </w:pPr>
          </w:p>
        </w:tc>
        <w:tc>
          <w:tcPr>
            <w:tcW w:w="510" w:type="pct"/>
            <w:noWrap/>
            <w:vAlign w:val="center"/>
          </w:tcPr>
          <w:p w14:paraId="32FFBD5B">
            <w:pPr>
              <w:shd w:val="clear" w:color="auto"/>
              <w:jc w:val="center"/>
              <w:rPr>
                <w:rFonts w:ascii="宋体" w:hAnsi="宋体" w:cs="宋体"/>
                <w:color w:val="auto"/>
                <w:sz w:val="24"/>
                <w:highlight w:val="none"/>
              </w:rPr>
            </w:pPr>
          </w:p>
        </w:tc>
        <w:tc>
          <w:tcPr>
            <w:tcW w:w="791" w:type="pct"/>
            <w:noWrap/>
            <w:vAlign w:val="center"/>
          </w:tcPr>
          <w:p w14:paraId="0EF5CB5A">
            <w:pPr>
              <w:shd w:val="clear" w:color="auto"/>
              <w:jc w:val="center"/>
              <w:rPr>
                <w:rFonts w:ascii="宋体" w:hAnsi="宋体" w:cs="宋体"/>
                <w:color w:val="auto"/>
                <w:sz w:val="24"/>
                <w:highlight w:val="none"/>
              </w:rPr>
            </w:pPr>
          </w:p>
        </w:tc>
        <w:tc>
          <w:tcPr>
            <w:tcW w:w="791" w:type="pct"/>
            <w:noWrap/>
            <w:vAlign w:val="center"/>
          </w:tcPr>
          <w:p w14:paraId="1A6E5F35">
            <w:pPr>
              <w:shd w:val="clear" w:color="auto"/>
              <w:jc w:val="center"/>
              <w:rPr>
                <w:rFonts w:ascii="宋体" w:hAnsi="宋体" w:cs="宋体"/>
                <w:color w:val="auto"/>
                <w:sz w:val="24"/>
                <w:highlight w:val="none"/>
              </w:rPr>
            </w:pPr>
          </w:p>
        </w:tc>
        <w:tc>
          <w:tcPr>
            <w:tcW w:w="851" w:type="pct"/>
            <w:noWrap/>
            <w:vAlign w:val="center"/>
          </w:tcPr>
          <w:p w14:paraId="2F0ADC0E">
            <w:pPr>
              <w:shd w:val="clear" w:color="auto"/>
              <w:jc w:val="center"/>
              <w:rPr>
                <w:rFonts w:ascii="宋体" w:hAnsi="宋体" w:cs="宋体"/>
                <w:color w:val="auto"/>
                <w:sz w:val="24"/>
                <w:highlight w:val="none"/>
              </w:rPr>
            </w:pPr>
          </w:p>
        </w:tc>
        <w:tc>
          <w:tcPr>
            <w:tcW w:w="271" w:type="pct"/>
            <w:noWrap/>
            <w:vAlign w:val="center"/>
          </w:tcPr>
          <w:p w14:paraId="00FAC99B">
            <w:pPr>
              <w:shd w:val="clear" w:color="auto"/>
              <w:jc w:val="center"/>
              <w:rPr>
                <w:rFonts w:ascii="宋体" w:hAnsi="宋体" w:cs="宋体"/>
                <w:color w:val="auto"/>
                <w:sz w:val="24"/>
                <w:highlight w:val="none"/>
              </w:rPr>
            </w:pPr>
          </w:p>
        </w:tc>
        <w:tc>
          <w:tcPr>
            <w:tcW w:w="271" w:type="pct"/>
            <w:noWrap/>
            <w:vAlign w:val="center"/>
          </w:tcPr>
          <w:p w14:paraId="56DCFC4A">
            <w:pPr>
              <w:shd w:val="clear" w:color="auto"/>
              <w:jc w:val="center"/>
              <w:rPr>
                <w:rFonts w:ascii="宋体" w:hAnsi="宋体" w:cs="宋体"/>
                <w:color w:val="auto"/>
                <w:sz w:val="24"/>
                <w:highlight w:val="none"/>
              </w:rPr>
            </w:pPr>
          </w:p>
        </w:tc>
      </w:tr>
      <w:tr w14:paraId="1D979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270" w:type="pct"/>
            <w:noWrap/>
            <w:vAlign w:val="center"/>
          </w:tcPr>
          <w:p w14:paraId="058037AA">
            <w:pPr>
              <w:shd w:val="clear" w:color="auto"/>
              <w:jc w:val="center"/>
              <w:rPr>
                <w:rFonts w:ascii="宋体" w:hAnsi="宋体" w:cs="宋体"/>
                <w:color w:val="auto"/>
                <w:sz w:val="24"/>
                <w:highlight w:val="none"/>
              </w:rPr>
            </w:pPr>
            <w:r>
              <w:rPr>
                <w:rFonts w:hint="eastAsia" w:ascii="宋体" w:hAnsi="宋体" w:cs="宋体"/>
                <w:color w:val="auto"/>
                <w:sz w:val="24"/>
                <w:highlight w:val="none"/>
              </w:rPr>
              <w:t>3</w:t>
            </w:r>
          </w:p>
        </w:tc>
        <w:tc>
          <w:tcPr>
            <w:tcW w:w="430" w:type="pct"/>
            <w:noWrap/>
            <w:vAlign w:val="center"/>
          </w:tcPr>
          <w:p w14:paraId="3AFD3595">
            <w:pPr>
              <w:shd w:val="clear" w:color="auto"/>
              <w:jc w:val="center"/>
              <w:rPr>
                <w:rFonts w:ascii="宋体" w:hAnsi="宋体" w:cs="宋体"/>
                <w:color w:val="auto"/>
                <w:sz w:val="24"/>
                <w:highlight w:val="none"/>
              </w:rPr>
            </w:pPr>
          </w:p>
        </w:tc>
        <w:tc>
          <w:tcPr>
            <w:tcW w:w="270" w:type="pct"/>
            <w:noWrap/>
            <w:vAlign w:val="center"/>
          </w:tcPr>
          <w:p w14:paraId="4702B93E">
            <w:pPr>
              <w:shd w:val="clear" w:color="auto"/>
              <w:jc w:val="center"/>
              <w:rPr>
                <w:rFonts w:ascii="宋体" w:hAnsi="宋体" w:cs="宋体"/>
                <w:color w:val="auto"/>
                <w:sz w:val="24"/>
                <w:highlight w:val="none"/>
              </w:rPr>
            </w:pPr>
          </w:p>
        </w:tc>
        <w:tc>
          <w:tcPr>
            <w:tcW w:w="270" w:type="pct"/>
            <w:noWrap/>
            <w:vAlign w:val="center"/>
          </w:tcPr>
          <w:p w14:paraId="7FADF7FE">
            <w:pPr>
              <w:shd w:val="clear" w:color="auto"/>
              <w:jc w:val="center"/>
              <w:rPr>
                <w:rFonts w:ascii="宋体" w:hAnsi="宋体" w:cs="宋体"/>
                <w:color w:val="auto"/>
                <w:sz w:val="24"/>
                <w:highlight w:val="none"/>
              </w:rPr>
            </w:pPr>
          </w:p>
        </w:tc>
        <w:tc>
          <w:tcPr>
            <w:tcW w:w="270" w:type="pct"/>
            <w:noWrap/>
            <w:vAlign w:val="center"/>
          </w:tcPr>
          <w:p w14:paraId="174667B6">
            <w:pPr>
              <w:shd w:val="clear" w:color="auto"/>
              <w:jc w:val="center"/>
              <w:rPr>
                <w:rFonts w:ascii="宋体" w:hAnsi="宋体" w:cs="宋体"/>
                <w:color w:val="auto"/>
                <w:sz w:val="24"/>
                <w:highlight w:val="none"/>
              </w:rPr>
            </w:pPr>
          </w:p>
        </w:tc>
        <w:tc>
          <w:tcPr>
            <w:tcW w:w="510" w:type="pct"/>
            <w:noWrap/>
            <w:vAlign w:val="center"/>
          </w:tcPr>
          <w:p w14:paraId="1AB4A381">
            <w:pPr>
              <w:shd w:val="clear" w:color="auto"/>
              <w:jc w:val="center"/>
              <w:rPr>
                <w:rFonts w:ascii="宋体" w:hAnsi="宋体" w:cs="宋体"/>
                <w:color w:val="auto"/>
                <w:sz w:val="24"/>
                <w:highlight w:val="none"/>
              </w:rPr>
            </w:pPr>
          </w:p>
        </w:tc>
        <w:tc>
          <w:tcPr>
            <w:tcW w:w="791" w:type="pct"/>
            <w:noWrap/>
            <w:vAlign w:val="center"/>
          </w:tcPr>
          <w:p w14:paraId="72B36FA1">
            <w:pPr>
              <w:shd w:val="clear" w:color="auto"/>
              <w:jc w:val="center"/>
              <w:rPr>
                <w:rFonts w:ascii="宋体" w:hAnsi="宋体" w:cs="宋体"/>
                <w:color w:val="auto"/>
                <w:sz w:val="24"/>
                <w:highlight w:val="none"/>
              </w:rPr>
            </w:pPr>
          </w:p>
        </w:tc>
        <w:tc>
          <w:tcPr>
            <w:tcW w:w="791" w:type="pct"/>
            <w:noWrap/>
            <w:vAlign w:val="center"/>
          </w:tcPr>
          <w:p w14:paraId="57FA6A30">
            <w:pPr>
              <w:shd w:val="clear" w:color="auto"/>
              <w:jc w:val="center"/>
              <w:rPr>
                <w:rFonts w:ascii="宋体" w:hAnsi="宋体" w:cs="宋体"/>
                <w:color w:val="auto"/>
                <w:sz w:val="24"/>
                <w:highlight w:val="none"/>
              </w:rPr>
            </w:pPr>
          </w:p>
        </w:tc>
        <w:tc>
          <w:tcPr>
            <w:tcW w:w="851" w:type="pct"/>
            <w:noWrap/>
            <w:vAlign w:val="center"/>
          </w:tcPr>
          <w:p w14:paraId="63C14D8A">
            <w:pPr>
              <w:shd w:val="clear" w:color="auto"/>
              <w:jc w:val="center"/>
              <w:rPr>
                <w:rFonts w:ascii="宋体" w:hAnsi="宋体" w:cs="宋体"/>
                <w:color w:val="auto"/>
                <w:sz w:val="24"/>
                <w:highlight w:val="none"/>
              </w:rPr>
            </w:pPr>
          </w:p>
        </w:tc>
        <w:tc>
          <w:tcPr>
            <w:tcW w:w="271" w:type="pct"/>
            <w:noWrap/>
            <w:vAlign w:val="center"/>
          </w:tcPr>
          <w:p w14:paraId="6B197724">
            <w:pPr>
              <w:shd w:val="clear" w:color="auto"/>
              <w:jc w:val="center"/>
              <w:rPr>
                <w:rFonts w:ascii="宋体" w:hAnsi="宋体" w:cs="宋体"/>
                <w:color w:val="auto"/>
                <w:sz w:val="24"/>
                <w:highlight w:val="none"/>
              </w:rPr>
            </w:pPr>
          </w:p>
        </w:tc>
        <w:tc>
          <w:tcPr>
            <w:tcW w:w="271" w:type="pct"/>
            <w:noWrap/>
            <w:vAlign w:val="center"/>
          </w:tcPr>
          <w:p w14:paraId="1FBA883A">
            <w:pPr>
              <w:shd w:val="clear" w:color="auto"/>
              <w:jc w:val="center"/>
              <w:rPr>
                <w:rFonts w:ascii="宋体" w:hAnsi="宋体" w:cs="宋体"/>
                <w:color w:val="auto"/>
                <w:sz w:val="24"/>
                <w:highlight w:val="none"/>
              </w:rPr>
            </w:pPr>
          </w:p>
        </w:tc>
      </w:tr>
      <w:tr w14:paraId="2E5DC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270" w:type="pct"/>
            <w:noWrap/>
            <w:vAlign w:val="center"/>
          </w:tcPr>
          <w:p w14:paraId="61270BE2">
            <w:pPr>
              <w:shd w:val="clear" w:color="auto"/>
              <w:jc w:val="center"/>
              <w:rPr>
                <w:rFonts w:ascii="宋体" w:hAnsi="宋体" w:cs="宋体"/>
                <w:color w:val="auto"/>
                <w:sz w:val="24"/>
                <w:highlight w:val="none"/>
              </w:rPr>
            </w:pPr>
            <w:r>
              <w:rPr>
                <w:rFonts w:hint="eastAsia" w:ascii="宋体" w:hAnsi="宋体" w:cs="宋体"/>
                <w:color w:val="auto"/>
                <w:sz w:val="24"/>
                <w:highlight w:val="none"/>
              </w:rPr>
              <w:t>4</w:t>
            </w:r>
          </w:p>
        </w:tc>
        <w:tc>
          <w:tcPr>
            <w:tcW w:w="430" w:type="pct"/>
            <w:noWrap/>
            <w:vAlign w:val="center"/>
          </w:tcPr>
          <w:p w14:paraId="42AAEBFB">
            <w:pPr>
              <w:shd w:val="clear" w:color="auto"/>
              <w:jc w:val="center"/>
              <w:rPr>
                <w:rFonts w:ascii="宋体" w:hAnsi="宋体" w:cs="宋体"/>
                <w:color w:val="auto"/>
                <w:sz w:val="24"/>
                <w:highlight w:val="none"/>
              </w:rPr>
            </w:pPr>
          </w:p>
        </w:tc>
        <w:tc>
          <w:tcPr>
            <w:tcW w:w="270" w:type="pct"/>
            <w:noWrap/>
            <w:vAlign w:val="center"/>
          </w:tcPr>
          <w:p w14:paraId="74650966">
            <w:pPr>
              <w:shd w:val="clear" w:color="auto"/>
              <w:jc w:val="center"/>
              <w:rPr>
                <w:rFonts w:ascii="宋体" w:hAnsi="宋体" w:cs="宋体"/>
                <w:color w:val="auto"/>
                <w:sz w:val="24"/>
                <w:highlight w:val="none"/>
              </w:rPr>
            </w:pPr>
          </w:p>
        </w:tc>
        <w:tc>
          <w:tcPr>
            <w:tcW w:w="270" w:type="pct"/>
            <w:noWrap/>
            <w:vAlign w:val="center"/>
          </w:tcPr>
          <w:p w14:paraId="3DE2C555">
            <w:pPr>
              <w:shd w:val="clear" w:color="auto"/>
              <w:jc w:val="center"/>
              <w:rPr>
                <w:rFonts w:ascii="宋体" w:hAnsi="宋体" w:cs="宋体"/>
                <w:color w:val="auto"/>
                <w:sz w:val="24"/>
                <w:highlight w:val="none"/>
              </w:rPr>
            </w:pPr>
          </w:p>
        </w:tc>
        <w:tc>
          <w:tcPr>
            <w:tcW w:w="270" w:type="pct"/>
            <w:noWrap/>
            <w:vAlign w:val="center"/>
          </w:tcPr>
          <w:p w14:paraId="33F7D759">
            <w:pPr>
              <w:shd w:val="clear" w:color="auto"/>
              <w:jc w:val="center"/>
              <w:rPr>
                <w:rFonts w:ascii="宋体" w:hAnsi="宋体" w:cs="宋体"/>
                <w:color w:val="auto"/>
                <w:sz w:val="24"/>
                <w:highlight w:val="none"/>
              </w:rPr>
            </w:pPr>
          </w:p>
        </w:tc>
        <w:tc>
          <w:tcPr>
            <w:tcW w:w="510" w:type="pct"/>
            <w:noWrap/>
            <w:vAlign w:val="center"/>
          </w:tcPr>
          <w:p w14:paraId="60F48140">
            <w:pPr>
              <w:shd w:val="clear" w:color="auto"/>
              <w:jc w:val="center"/>
              <w:rPr>
                <w:rFonts w:ascii="宋体" w:hAnsi="宋体" w:cs="宋体"/>
                <w:color w:val="auto"/>
                <w:sz w:val="24"/>
                <w:highlight w:val="none"/>
              </w:rPr>
            </w:pPr>
          </w:p>
        </w:tc>
        <w:tc>
          <w:tcPr>
            <w:tcW w:w="791" w:type="pct"/>
            <w:noWrap/>
            <w:vAlign w:val="center"/>
          </w:tcPr>
          <w:p w14:paraId="2511443D">
            <w:pPr>
              <w:shd w:val="clear" w:color="auto"/>
              <w:jc w:val="center"/>
              <w:rPr>
                <w:rFonts w:ascii="宋体" w:hAnsi="宋体" w:cs="宋体"/>
                <w:color w:val="auto"/>
                <w:sz w:val="24"/>
                <w:highlight w:val="none"/>
              </w:rPr>
            </w:pPr>
          </w:p>
        </w:tc>
        <w:tc>
          <w:tcPr>
            <w:tcW w:w="791" w:type="pct"/>
            <w:noWrap/>
            <w:vAlign w:val="center"/>
          </w:tcPr>
          <w:p w14:paraId="1635C7A0">
            <w:pPr>
              <w:shd w:val="clear" w:color="auto"/>
              <w:jc w:val="center"/>
              <w:rPr>
                <w:rFonts w:ascii="宋体" w:hAnsi="宋体" w:cs="宋体"/>
                <w:color w:val="auto"/>
                <w:sz w:val="24"/>
                <w:highlight w:val="none"/>
              </w:rPr>
            </w:pPr>
          </w:p>
        </w:tc>
        <w:tc>
          <w:tcPr>
            <w:tcW w:w="851" w:type="pct"/>
            <w:noWrap/>
            <w:vAlign w:val="center"/>
          </w:tcPr>
          <w:p w14:paraId="7F76E27A">
            <w:pPr>
              <w:shd w:val="clear" w:color="auto"/>
              <w:jc w:val="center"/>
              <w:rPr>
                <w:rFonts w:ascii="宋体" w:hAnsi="宋体" w:cs="宋体"/>
                <w:color w:val="auto"/>
                <w:sz w:val="24"/>
                <w:highlight w:val="none"/>
              </w:rPr>
            </w:pPr>
          </w:p>
        </w:tc>
        <w:tc>
          <w:tcPr>
            <w:tcW w:w="271" w:type="pct"/>
            <w:noWrap/>
            <w:vAlign w:val="center"/>
          </w:tcPr>
          <w:p w14:paraId="01970DB6">
            <w:pPr>
              <w:shd w:val="clear" w:color="auto"/>
              <w:jc w:val="center"/>
              <w:rPr>
                <w:rFonts w:ascii="宋体" w:hAnsi="宋体" w:cs="宋体"/>
                <w:color w:val="auto"/>
                <w:sz w:val="24"/>
                <w:highlight w:val="none"/>
              </w:rPr>
            </w:pPr>
          </w:p>
        </w:tc>
        <w:tc>
          <w:tcPr>
            <w:tcW w:w="271" w:type="pct"/>
            <w:noWrap/>
            <w:vAlign w:val="center"/>
          </w:tcPr>
          <w:p w14:paraId="0EFEC75D">
            <w:pPr>
              <w:shd w:val="clear" w:color="auto"/>
              <w:jc w:val="center"/>
              <w:rPr>
                <w:rFonts w:ascii="宋体" w:hAnsi="宋体" w:cs="宋体"/>
                <w:color w:val="auto"/>
                <w:sz w:val="24"/>
                <w:highlight w:val="none"/>
              </w:rPr>
            </w:pPr>
          </w:p>
        </w:tc>
      </w:tr>
      <w:tr w14:paraId="69088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270" w:type="pct"/>
            <w:noWrap/>
            <w:vAlign w:val="center"/>
          </w:tcPr>
          <w:p w14:paraId="531631DA">
            <w:pPr>
              <w:shd w:val="clear" w:color="auto"/>
              <w:jc w:val="center"/>
              <w:rPr>
                <w:rFonts w:ascii="宋体" w:hAnsi="宋体" w:cs="宋体"/>
                <w:color w:val="auto"/>
                <w:sz w:val="24"/>
                <w:highlight w:val="none"/>
              </w:rPr>
            </w:pPr>
            <w:r>
              <w:rPr>
                <w:rFonts w:hint="eastAsia" w:ascii="宋体" w:hAnsi="宋体" w:cs="宋体"/>
                <w:color w:val="auto"/>
                <w:sz w:val="24"/>
                <w:highlight w:val="none"/>
              </w:rPr>
              <w:t>5</w:t>
            </w:r>
          </w:p>
        </w:tc>
        <w:tc>
          <w:tcPr>
            <w:tcW w:w="430" w:type="pct"/>
            <w:noWrap/>
            <w:vAlign w:val="center"/>
          </w:tcPr>
          <w:p w14:paraId="1F566FA7">
            <w:pPr>
              <w:shd w:val="clear" w:color="auto"/>
              <w:jc w:val="center"/>
              <w:rPr>
                <w:rFonts w:ascii="宋体" w:hAnsi="宋体" w:cs="宋体"/>
                <w:color w:val="auto"/>
                <w:sz w:val="24"/>
                <w:highlight w:val="none"/>
              </w:rPr>
            </w:pPr>
          </w:p>
        </w:tc>
        <w:tc>
          <w:tcPr>
            <w:tcW w:w="270" w:type="pct"/>
            <w:noWrap/>
            <w:vAlign w:val="center"/>
          </w:tcPr>
          <w:p w14:paraId="07E6A150">
            <w:pPr>
              <w:shd w:val="clear" w:color="auto"/>
              <w:jc w:val="center"/>
              <w:rPr>
                <w:rFonts w:ascii="宋体" w:hAnsi="宋体" w:cs="宋体"/>
                <w:color w:val="auto"/>
                <w:sz w:val="24"/>
                <w:highlight w:val="none"/>
              </w:rPr>
            </w:pPr>
          </w:p>
        </w:tc>
        <w:tc>
          <w:tcPr>
            <w:tcW w:w="270" w:type="pct"/>
            <w:noWrap/>
            <w:vAlign w:val="center"/>
          </w:tcPr>
          <w:p w14:paraId="78850077">
            <w:pPr>
              <w:shd w:val="clear" w:color="auto"/>
              <w:jc w:val="center"/>
              <w:rPr>
                <w:rFonts w:ascii="宋体" w:hAnsi="宋体" w:cs="宋体"/>
                <w:color w:val="auto"/>
                <w:sz w:val="24"/>
                <w:highlight w:val="none"/>
              </w:rPr>
            </w:pPr>
          </w:p>
        </w:tc>
        <w:tc>
          <w:tcPr>
            <w:tcW w:w="270" w:type="pct"/>
            <w:noWrap/>
            <w:vAlign w:val="center"/>
          </w:tcPr>
          <w:p w14:paraId="7AFAA547">
            <w:pPr>
              <w:shd w:val="clear" w:color="auto"/>
              <w:jc w:val="center"/>
              <w:rPr>
                <w:rFonts w:ascii="宋体" w:hAnsi="宋体" w:cs="宋体"/>
                <w:color w:val="auto"/>
                <w:sz w:val="24"/>
                <w:highlight w:val="none"/>
              </w:rPr>
            </w:pPr>
          </w:p>
        </w:tc>
        <w:tc>
          <w:tcPr>
            <w:tcW w:w="510" w:type="pct"/>
            <w:noWrap/>
            <w:vAlign w:val="center"/>
          </w:tcPr>
          <w:p w14:paraId="48C638D8">
            <w:pPr>
              <w:shd w:val="clear" w:color="auto"/>
              <w:jc w:val="center"/>
              <w:rPr>
                <w:rFonts w:ascii="宋体" w:hAnsi="宋体" w:cs="宋体"/>
                <w:color w:val="auto"/>
                <w:sz w:val="24"/>
                <w:highlight w:val="none"/>
              </w:rPr>
            </w:pPr>
          </w:p>
        </w:tc>
        <w:tc>
          <w:tcPr>
            <w:tcW w:w="791" w:type="pct"/>
            <w:noWrap/>
            <w:vAlign w:val="center"/>
          </w:tcPr>
          <w:p w14:paraId="190A46FE">
            <w:pPr>
              <w:shd w:val="clear" w:color="auto"/>
              <w:jc w:val="center"/>
              <w:rPr>
                <w:rFonts w:ascii="宋体" w:hAnsi="宋体" w:cs="宋体"/>
                <w:color w:val="auto"/>
                <w:sz w:val="24"/>
                <w:highlight w:val="none"/>
              </w:rPr>
            </w:pPr>
          </w:p>
        </w:tc>
        <w:tc>
          <w:tcPr>
            <w:tcW w:w="791" w:type="pct"/>
            <w:noWrap/>
            <w:vAlign w:val="center"/>
          </w:tcPr>
          <w:p w14:paraId="2EFFC97A">
            <w:pPr>
              <w:shd w:val="clear" w:color="auto"/>
              <w:jc w:val="center"/>
              <w:rPr>
                <w:rFonts w:ascii="宋体" w:hAnsi="宋体" w:cs="宋体"/>
                <w:color w:val="auto"/>
                <w:sz w:val="24"/>
                <w:highlight w:val="none"/>
              </w:rPr>
            </w:pPr>
          </w:p>
        </w:tc>
        <w:tc>
          <w:tcPr>
            <w:tcW w:w="851" w:type="pct"/>
            <w:noWrap/>
            <w:vAlign w:val="center"/>
          </w:tcPr>
          <w:p w14:paraId="4ECCA7E1">
            <w:pPr>
              <w:shd w:val="clear" w:color="auto"/>
              <w:jc w:val="center"/>
              <w:rPr>
                <w:rFonts w:ascii="宋体" w:hAnsi="宋体" w:cs="宋体"/>
                <w:color w:val="auto"/>
                <w:sz w:val="24"/>
                <w:highlight w:val="none"/>
              </w:rPr>
            </w:pPr>
          </w:p>
        </w:tc>
        <w:tc>
          <w:tcPr>
            <w:tcW w:w="271" w:type="pct"/>
            <w:noWrap/>
            <w:vAlign w:val="center"/>
          </w:tcPr>
          <w:p w14:paraId="06E44311">
            <w:pPr>
              <w:shd w:val="clear" w:color="auto"/>
              <w:jc w:val="center"/>
              <w:rPr>
                <w:rFonts w:ascii="宋体" w:hAnsi="宋体" w:cs="宋体"/>
                <w:color w:val="auto"/>
                <w:sz w:val="24"/>
                <w:highlight w:val="none"/>
              </w:rPr>
            </w:pPr>
          </w:p>
        </w:tc>
        <w:tc>
          <w:tcPr>
            <w:tcW w:w="271" w:type="pct"/>
            <w:noWrap/>
            <w:vAlign w:val="center"/>
          </w:tcPr>
          <w:p w14:paraId="46CA922A">
            <w:pPr>
              <w:shd w:val="clear" w:color="auto"/>
              <w:jc w:val="center"/>
              <w:rPr>
                <w:rFonts w:ascii="宋体" w:hAnsi="宋体" w:cs="宋体"/>
                <w:color w:val="auto"/>
                <w:sz w:val="24"/>
                <w:highlight w:val="none"/>
              </w:rPr>
            </w:pPr>
          </w:p>
        </w:tc>
      </w:tr>
      <w:tr w14:paraId="78833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70" w:type="pct"/>
            <w:noWrap/>
            <w:vAlign w:val="center"/>
          </w:tcPr>
          <w:p w14:paraId="4F0FFA33">
            <w:pPr>
              <w:shd w:val="clear" w:color="auto"/>
              <w:jc w:val="center"/>
              <w:rPr>
                <w:rFonts w:ascii="宋体" w:hAnsi="宋体" w:cs="宋体"/>
                <w:color w:val="auto"/>
                <w:sz w:val="24"/>
                <w:highlight w:val="none"/>
              </w:rPr>
            </w:pPr>
            <w:r>
              <w:rPr>
                <w:rFonts w:hint="eastAsia" w:ascii="宋体" w:hAnsi="宋体" w:cs="宋体"/>
                <w:color w:val="auto"/>
                <w:sz w:val="24"/>
                <w:highlight w:val="none"/>
              </w:rPr>
              <w:t>6</w:t>
            </w:r>
          </w:p>
        </w:tc>
        <w:tc>
          <w:tcPr>
            <w:tcW w:w="430" w:type="pct"/>
            <w:noWrap/>
            <w:vAlign w:val="center"/>
          </w:tcPr>
          <w:p w14:paraId="4BB96360">
            <w:pPr>
              <w:shd w:val="clear" w:color="auto"/>
              <w:jc w:val="center"/>
              <w:rPr>
                <w:rFonts w:ascii="宋体" w:hAnsi="宋体" w:cs="宋体"/>
                <w:color w:val="auto"/>
                <w:sz w:val="24"/>
                <w:highlight w:val="none"/>
              </w:rPr>
            </w:pPr>
          </w:p>
        </w:tc>
        <w:tc>
          <w:tcPr>
            <w:tcW w:w="270" w:type="pct"/>
            <w:noWrap/>
            <w:vAlign w:val="center"/>
          </w:tcPr>
          <w:p w14:paraId="361ECA66">
            <w:pPr>
              <w:shd w:val="clear" w:color="auto"/>
              <w:jc w:val="center"/>
              <w:rPr>
                <w:rFonts w:ascii="宋体" w:hAnsi="宋体" w:cs="宋体"/>
                <w:color w:val="auto"/>
                <w:sz w:val="24"/>
                <w:highlight w:val="none"/>
              </w:rPr>
            </w:pPr>
          </w:p>
        </w:tc>
        <w:tc>
          <w:tcPr>
            <w:tcW w:w="270" w:type="pct"/>
            <w:noWrap/>
            <w:vAlign w:val="center"/>
          </w:tcPr>
          <w:p w14:paraId="07125FC5">
            <w:pPr>
              <w:shd w:val="clear" w:color="auto"/>
              <w:jc w:val="center"/>
              <w:rPr>
                <w:rFonts w:ascii="宋体" w:hAnsi="宋体" w:cs="宋体"/>
                <w:color w:val="auto"/>
                <w:sz w:val="24"/>
                <w:highlight w:val="none"/>
              </w:rPr>
            </w:pPr>
          </w:p>
        </w:tc>
        <w:tc>
          <w:tcPr>
            <w:tcW w:w="270" w:type="pct"/>
            <w:noWrap/>
            <w:vAlign w:val="center"/>
          </w:tcPr>
          <w:p w14:paraId="5AC1765E">
            <w:pPr>
              <w:shd w:val="clear" w:color="auto"/>
              <w:jc w:val="center"/>
              <w:rPr>
                <w:rFonts w:ascii="宋体" w:hAnsi="宋体" w:cs="宋体"/>
                <w:color w:val="auto"/>
                <w:sz w:val="24"/>
                <w:highlight w:val="none"/>
              </w:rPr>
            </w:pPr>
          </w:p>
        </w:tc>
        <w:tc>
          <w:tcPr>
            <w:tcW w:w="510" w:type="pct"/>
            <w:noWrap/>
            <w:vAlign w:val="center"/>
          </w:tcPr>
          <w:p w14:paraId="1465473B">
            <w:pPr>
              <w:shd w:val="clear" w:color="auto"/>
              <w:jc w:val="center"/>
              <w:rPr>
                <w:rFonts w:ascii="宋体" w:hAnsi="宋体" w:cs="宋体"/>
                <w:color w:val="auto"/>
                <w:sz w:val="24"/>
                <w:highlight w:val="none"/>
              </w:rPr>
            </w:pPr>
          </w:p>
        </w:tc>
        <w:tc>
          <w:tcPr>
            <w:tcW w:w="791" w:type="pct"/>
            <w:noWrap/>
            <w:vAlign w:val="center"/>
          </w:tcPr>
          <w:p w14:paraId="14D4BCB5">
            <w:pPr>
              <w:shd w:val="clear" w:color="auto"/>
              <w:jc w:val="center"/>
              <w:rPr>
                <w:rFonts w:ascii="宋体" w:hAnsi="宋体" w:cs="宋体"/>
                <w:color w:val="auto"/>
                <w:sz w:val="24"/>
                <w:highlight w:val="none"/>
              </w:rPr>
            </w:pPr>
          </w:p>
        </w:tc>
        <w:tc>
          <w:tcPr>
            <w:tcW w:w="791" w:type="pct"/>
            <w:noWrap/>
            <w:vAlign w:val="center"/>
          </w:tcPr>
          <w:p w14:paraId="65977255">
            <w:pPr>
              <w:shd w:val="clear" w:color="auto"/>
              <w:jc w:val="center"/>
              <w:rPr>
                <w:rFonts w:ascii="宋体" w:hAnsi="宋体" w:cs="宋体"/>
                <w:color w:val="auto"/>
                <w:sz w:val="24"/>
                <w:highlight w:val="none"/>
              </w:rPr>
            </w:pPr>
          </w:p>
        </w:tc>
        <w:tc>
          <w:tcPr>
            <w:tcW w:w="851" w:type="pct"/>
            <w:noWrap/>
            <w:vAlign w:val="center"/>
          </w:tcPr>
          <w:p w14:paraId="432DA795">
            <w:pPr>
              <w:shd w:val="clear" w:color="auto"/>
              <w:jc w:val="center"/>
              <w:rPr>
                <w:rFonts w:ascii="宋体" w:hAnsi="宋体" w:cs="宋体"/>
                <w:color w:val="auto"/>
                <w:sz w:val="24"/>
                <w:highlight w:val="none"/>
              </w:rPr>
            </w:pPr>
          </w:p>
        </w:tc>
        <w:tc>
          <w:tcPr>
            <w:tcW w:w="271" w:type="pct"/>
            <w:noWrap/>
            <w:vAlign w:val="center"/>
          </w:tcPr>
          <w:p w14:paraId="5391D9D7">
            <w:pPr>
              <w:shd w:val="clear" w:color="auto"/>
              <w:jc w:val="center"/>
              <w:rPr>
                <w:rFonts w:ascii="宋体" w:hAnsi="宋体" w:cs="宋体"/>
                <w:color w:val="auto"/>
                <w:sz w:val="24"/>
                <w:highlight w:val="none"/>
              </w:rPr>
            </w:pPr>
          </w:p>
        </w:tc>
        <w:tc>
          <w:tcPr>
            <w:tcW w:w="271" w:type="pct"/>
            <w:noWrap/>
            <w:vAlign w:val="center"/>
          </w:tcPr>
          <w:p w14:paraId="7D0D6CB8">
            <w:pPr>
              <w:shd w:val="clear" w:color="auto"/>
              <w:jc w:val="center"/>
              <w:rPr>
                <w:rFonts w:ascii="宋体" w:hAnsi="宋体" w:cs="宋体"/>
                <w:color w:val="auto"/>
                <w:sz w:val="24"/>
                <w:highlight w:val="none"/>
              </w:rPr>
            </w:pPr>
          </w:p>
        </w:tc>
      </w:tr>
      <w:tr w14:paraId="7D621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270" w:type="pct"/>
            <w:noWrap/>
            <w:vAlign w:val="center"/>
          </w:tcPr>
          <w:p w14:paraId="7351125D">
            <w:pPr>
              <w:shd w:val="clear" w:color="auto"/>
              <w:jc w:val="center"/>
              <w:rPr>
                <w:rFonts w:ascii="宋体" w:hAnsi="宋体" w:cs="宋体"/>
                <w:color w:val="auto"/>
                <w:sz w:val="24"/>
                <w:highlight w:val="none"/>
              </w:rPr>
            </w:pPr>
            <w:r>
              <w:rPr>
                <w:rFonts w:hint="eastAsia" w:ascii="宋体" w:hAnsi="宋体" w:cs="宋体"/>
                <w:color w:val="auto"/>
                <w:sz w:val="24"/>
                <w:highlight w:val="none"/>
              </w:rPr>
              <w:t>……</w:t>
            </w:r>
          </w:p>
        </w:tc>
        <w:tc>
          <w:tcPr>
            <w:tcW w:w="430" w:type="pct"/>
            <w:noWrap/>
            <w:vAlign w:val="center"/>
          </w:tcPr>
          <w:p w14:paraId="66F97C0C">
            <w:pPr>
              <w:shd w:val="clear" w:color="auto"/>
              <w:jc w:val="center"/>
              <w:rPr>
                <w:rFonts w:ascii="宋体" w:hAnsi="宋体" w:cs="宋体"/>
                <w:color w:val="auto"/>
                <w:sz w:val="24"/>
                <w:highlight w:val="none"/>
              </w:rPr>
            </w:pPr>
          </w:p>
        </w:tc>
        <w:tc>
          <w:tcPr>
            <w:tcW w:w="270" w:type="pct"/>
            <w:noWrap/>
            <w:vAlign w:val="center"/>
          </w:tcPr>
          <w:p w14:paraId="6AF479C3">
            <w:pPr>
              <w:shd w:val="clear" w:color="auto"/>
              <w:jc w:val="center"/>
              <w:rPr>
                <w:rFonts w:ascii="宋体" w:hAnsi="宋体" w:cs="宋体"/>
                <w:color w:val="auto"/>
                <w:sz w:val="24"/>
                <w:highlight w:val="none"/>
              </w:rPr>
            </w:pPr>
          </w:p>
        </w:tc>
        <w:tc>
          <w:tcPr>
            <w:tcW w:w="270" w:type="pct"/>
            <w:noWrap/>
            <w:vAlign w:val="center"/>
          </w:tcPr>
          <w:p w14:paraId="5038A98F">
            <w:pPr>
              <w:shd w:val="clear" w:color="auto"/>
              <w:jc w:val="center"/>
              <w:rPr>
                <w:rFonts w:ascii="宋体" w:hAnsi="宋体" w:cs="宋体"/>
                <w:color w:val="auto"/>
                <w:sz w:val="24"/>
                <w:highlight w:val="none"/>
              </w:rPr>
            </w:pPr>
          </w:p>
        </w:tc>
        <w:tc>
          <w:tcPr>
            <w:tcW w:w="270" w:type="pct"/>
            <w:noWrap/>
            <w:vAlign w:val="center"/>
          </w:tcPr>
          <w:p w14:paraId="6130118C">
            <w:pPr>
              <w:shd w:val="clear" w:color="auto"/>
              <w:jc w:val="center"/>
              <w:rPr>
                <w:rFonts w:ascii="宋体" w:hAnsi="宋体" w:cs="宋体"/>
                <w:color w:val="auto"/>
                <w:sz w:val="24"/>
                <w:highlight w:val="none"/>
              </w:rPr>
            </w:pPr>
          </w:p>
        </w:tc>
        <w:tc>
          <w:tcPr>
            <w:tcW w:w="510" w:type="pct"/>
            <w:noWrap/>
            <w:vAlign w:val="center"/>
          </w:tcPr>
          <w:p w14:paraId="54048A64">
            <w:pPr>
              <w:shd w:val="clear" w:color="auto"/>
              <w:jc w:val="center"/>
              <w:rPr>
                <w:rFonts w:ascii="宋体" w:hAnsi="宋体" w:cs="宋体"/>
                <w:color w:val="auto"/>
                <w:sz w:val="24"/>
                <w:highlight w:val="none"/>
              </w:rPr>
            </w:pPr>
          </w:p>
        </w:tc>
        <w:tc>
          <w:tcPr>
            <w:tcW w:w="791" w:type="pct"/>
            <w:noWrap/>
            <w:vAlign w:val="center"/>
          </w:tcPr>
          <w:p w14:paraId="4FB3755B">
            <w:pPr>
              <w:shd w:val="clear" w:color="auto"/>
              <w:jc w:val="center"/>
              <w:rPr>
                <w:rFonts w:ascii="宋体" w:hAnsi="宋体" w:cs="宋体"/>
                <w:color w:val="auto"/>
                <w:sz w:val="24"/>
                <w:highlight w:val="none"/>
              </w:rPr>
            </w:pPr>
          </w:p>
        </w:tc>
        <w:tc>
          <w:tcPr>
            <w:tcW w:w="791" w:type="pct"/>
            <w:noWrap/>
            <w:vAlign w:val="center"/>
          </w:tcPr>
          <w:p w14:paraId="7221E3D1">
            <w:pPr>
              <w:shd w:val="clear" w:color="auto"/>
              <w:jc w:val="center"/>
              <w:rPr>
                <w:rFonts w:ascii="宋体" w:hAnsi="宋体" w:cs="宋体"/>
                <w:color w:val="auto"/>
                <w:sz w:val="24"/>
                <w:highlight w:val="none"/>
              </w:rPr>
            </w:pPr>
          </w:p>
        </w:tc>
        <w:tc>
          <w:tcPr>
            <w:tcW w:w="851" w:type="pct"/>
            <w:noWrap/>
            <w:vAlign w:val="center"/>
          </w:tcPr>
          <w:p w14:paraId="005A4C5D">
            <w:pPr>
              <w:shd w:val="clear" w:color="auto"/>
              <w:jc w:val="center"/>
              <w:rPr>
                <w:rFonts w:ascii="宋体" w:hAnsi="宋体" w:cs="宋体"/>
                <w:color w:val="auto"/>
                <w:sz w:val="24"/>
                <w:highlight w:val="none"/>
              </w:rPr>
            </w:pPr>
          </w:p>
        </w:tc>
        <w:tc>
          <w:tcPr>
            <w:tcW w:w="271" w:type="pct"/>
            <w:noWrap/>
            <w:vAlign w:val="center"/>
          </w:tcPr>
          <w:p w14:paraId="45C6AEA8">
            <w:pPr>
              <w:shd w:val="clear" w:color="auto"/>
              <w:jc w:val="center"/>
              <w:rPr>
                <w:rFonts w:ascii="宋体" w:hAnsi="宋体" w:cs="宋体"/>
                <w:color w:val="auto"/>
                <w:sz w:val="24"/>
                <w:highlight w:val="none"/>
              </w:rPr>
            </w:pPr>
          </w:p>
        </w:tc>
        <w:tc>
          <w:tcPr>
            <w:tcW w:w="271" w:type="pct"/>
            <w:noWrap/>
            <w:vAlign w:val="center"/>
          </w:tcPr>
          <w:p w14:paraId="088BAEA0">
            <w:pPr>
              <w:shd w:val="clear" w:color="auto"/>
              <w:jc w:val="center"/>
              <w:rPr>
                <w:rFonts w:ascii="宋体" w:hAnsi="宋体" w:cs="宋体"/>
                <w:color w:val="auto"/>
                <w:sz w:val="24"/>
                <w:highlight w:val="none"/>
              </w:rPr>
            </w:pPr>
          </w:p>
        </w:tc>
      </w:tr>
      <w:tr w14:paraId="5DE4A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0" w:hRule="atLeast"/>
          <w:jc w:val="center"/>
        </w:trPr>
        <w:tc>
          <w:tcPr>
            <w:tcW w:w="2023" w:type="pct"/>
            <w:gridSpan w:val="6"/>
            <w:noWrap/>
            <w:vAlign w:val="center"/>
          </w:tcPr>
          <w:p w14:paraId="4BA966BD">
            <w:pPr>
              <w:shd w:val="clear" w:color="auto"/>
              <w:jc w:val="center"/>
              <w:rPr>
                <w:rFonts w:ascii="宋体" w:hAnsi="宋体" w:cs="宋体"/>
                <w:color w:val="auto"/>
                <w:sz w:val="24"/>
                <w:highlight w:val="none"/>
              </w:rPr>
            </w:pPr>
            <w:r>
              <w:rPr>
                <w:rFonts w:hint="eastAsia" w:ascii="宋体" w:hAnsi="宋体" w:cs="宋体"/>
                <w:color w:val="auto"/>
                <w:sz w:val="24"/>
                <w:highlight w:val="none"/>
              </w:rPr>
              <w:t>合计：</w:t>
            </w:r>
          </w:p>
        </w:tc>
        <w:tc>
          <w:tcPr>
            <w:tcW w:w="791" w:type="pct"/>
            <w:noWrap/>
            <w:vAlign w:val="center"/>
          </w:tcPr>
          <w:p w14:paraId="47393ADE">
            <w:pPr>
              <w:shd w:val="clear" w:color="auto"/>
              <w:jc w:val="center"/>
              <w:rPr>
                <w:rFonts w:ascii="宋体" w:hAnsi="宋体" w:cs="宋体"/>
                <w:color w:val="auto"/>
                <w:sz w:val="24"/>
                <w:highlight w:val="none"/>
              </w:rPr>
            </w:pPr>
          </w:p>
        </w:tc>
        <w:tc>
          <w:tcPr>
            <w:tcW w:w="791" w:type="pct"/>
            <w:noWrap/>
            <w:vAlign w:val="center"/>
          </w:tcPr>
          <w:p w14:paraId="08244ADF">
            <w:pPr>
              <w:shd w:val="clear" w:color="auto"/>
              <w:jc w:val="center"/>
              <w:rPr>
                <w:rFonts w:ascii="宋体" w:hAnsi="宋体" w:cs="宋体"/>
                <w:color w:val="auto"/>
                <w:sz w:val="24"/>
                <w:highlight w:val="none"/>
              </w:rPr>
            </w:pPr>
          </w:p>
        </w:tc>
        <w:tc>
          <w:tcPr>
            <w:tcW w:w="851" w:type="pct"/>
            <w:noWrap/>
            <w:vAlign w:val="center"/>
          </w:tcPr>
          <w:p w14:paraId="26CCB9F2">
            <w:pPr>
              <w:shd w:val="clear" w:color="auto"/>
              <w:jc w:val="center"/>
              <w:rPr>
                <w:rFonts w:ascii="宋体" w:hAnsi="宋体" w:cs="宋体"/>
                <w:color w:val="auto"/>
                <w:sz w:val="24"/>
                <w:highlight w:val="none"/>
              </w:rPr>
            </w:pPr>
          </w:p>
        </w:tc>
        <w:tc>
          <w:tcPr>
            <w:tcW w:w="271" w:type="pct"/>
            <w:noWrap/>
            <w:vAlign w:val="center"/>
          </w:tcPr>
          <w:p w14:paraId="6E18F2B8">
            <w:pPr>
              <w:shd w:val="clear" w:color="auto"/>
              <w:jc w:val="center"/>
              <w:rPr>
                <w:rFonts w:ascii="宋体" w:hAnsi="宋体" w:cs="宋体"/>
                <w:color w:val="auto"/>
                <w:sz w:val="24"/>
                <w:highlight w:val="none"/>
              </w:rPr>
            </w:pPr>
          </w:p>
        </w:tc>
        <w:tc>
          <w:tcPr>
            <w:tcW w:w="271" w:type="pct"/>
            <w:noWrap/>
            <w:vAlign w:val="center"/>
          </w:tcPr>
          <w:p w14:paraId="31CE60C7">
            <w:pPr>
              <w:shd w:val="clear" w:color="auto"/>
              <w:jc w:val="center"/>
              <w:rPr>
                <w:rFonts w:ascii="宋体" w:hAnsi="宋体" w:cs="宋体"/>
                <w:color w:val="auto"/>
                <w:sz w:val="24"/>
                <w:highlight w:val="none"/>
              </w:rPr>
            </w:pPr>
          </w:p>
        </w:tc>
      </w:tr>
    </w:tbl>
    <w:p w14:paraId="42E355A9">
      <w:pPr>
        <w:shd w:val="clear" w:color="auto"/>
        <w:spacing w:line="400" w:lineRule="exact"/>
        <w:rPr>
          <w:rFonts w:hAnsi="宋体"/>
          <w:bCs/>
          <w:color w:val="auto"/>
          <w:szCs w:val="21"/>
          <w:highlight w:val="none"/>
        </w:rPr>
      </w:pPr>
      <w:r>
        <w:rPr>
          <w:rFonts w:hint="eastAsia"/>
          <w:b/>
          <w:bCs/>
          <w:color w:val="auto"/>
          <w:sz w:val="24"/>
          <w:highlight w:val="none"/>
        </w:rPr>
        <w:t>法定代表人或法定代表人授权代表签字或盖章：</w:t>
      </w:r>
    </w:p>
    <w:p w14:paraId="6CC82D31">
      <w:pPr>
        <w:shd w:val="clear" w:color="auto"/>
        <w:spacing w:line="400" w:lineRule="exact"/>
        <w:rPr>
          <w:rFonts w:hAnsi="宋体"/>
          <w:bCs/>
          <w:color w:val="auto"/>
          <w:szCs w:val="21"/>
          <w:highlight w:val="none"/>
        </w:rPr>
      </w:pPr>
    </w:p>
    <w:p w14:paraId="711AF245">
      <w:pPr>
        <w:shd w:val="clear" w:color="auto"/>
        <w:spacing w:line="400" w:lineRule="exact"/>
        <w:rPr>
          <w:rFonts w:hAnsi="宋体"/>
          <w:bCs/>
          <w:color w:val="auto"/>
          <w:sz w:val="24"/>
          <w:szCs w:val="16"/>
          <w:highlight w:val="none"/>
        </w:rPr>
      </w:pPr>
      <w:r>
        <w:rPr>
          <w:rFonts w:hint="eastAsia" w:hAnsi="宋体"/>
          <w:bCs/>
          <w:color w:val="auto"/>
          <w:sz w:val="24"/>
          <w:szCs w:val="16"/>
          <w:highlight w:val="none"/>
        </w:rPr>
        <w:t>注：1、由</w:t>
      </w:r>
      <w:r>
        <w:rPr>
          <w:rFonts w:hint="eastAsia" w:hAnsi="宋体"/>
          <w:bCs/>
          <w:color w:val="auto"/>
          <w:sz w:val="24"/>
          <w:szCs w:val="16"/>
          <w:highlight w:val="none"/>
          <w:lang w:eastAsia="zh-CN"/>
        </w:rPr>
        <w:t>供应商</w:t>
      </w:r>
      <w:r>
        <w:rPr>
          <w:rFonts w:hint="eastAsia" w:hAnsi="宋体"/>
          <w:bCs/>
          <w:color w:val="auto"/>
          <w:sz w:val="24"/>
          <w:szCs w:val="16"/>
          <w:highlight w:val="none"/>
        </w:rPr>
        <w:t>根据采购需求自行测算含在投标报价中。</w:t>
      </w:r>
    </w:p>
    <w:p w14:paraId="3D1834F9">
      <w:pPr>
        <w:shd w:val="clear" w:color="auto"/>
        <w:spacing w:line="400" w:lineRule="exact"/>
        <w:ind w:firstLine="315"/>
        <w:outlineLvl w:val="0"/>
        <w:rPr>
          <w:rFonts w:hAnsi="宋体"/>
          <w:bCs/>
          <w:color w:val="auto"/>
          <w:sz w:val="24"/>
          <w:szCs w:val="16"/>
          <w:highlight w:val="none"/>
        </w:rPr>
      </w:pPr>
      <w:r>
        <w:rPr>
          <w:rFonts w:hint="eastAsia" w:hAnsi="宋体"/>
          <w:bCs/>
          <w:color w:val="auto"/>
          <w:sz w:val="24"/>
          <w:szCs w:val="16"/>
          <w:highlight w:val="none"/>
        </w:rPr>
        <w:t xml:space="preserve"> 2、</w:t>
      </w:r>
      <w:r>
        <w:rPr>
          <w:rFonts w:hint="eastAsia" w:hAnsi="宋体" w:cs="宋体"/>
          <w:color w:val="auto"/>
          <w:sz w:val="24"/>
          <w:szCs w:val="16"/>
          <w:highlight w:val="none"/>
          <w:lang w:val="zh-CN"/>
        </w:rPr>
        <w:t>上表可自行延长。</w:t>
      </w:r>
    </w:p>
    <w:p w14:paraId="3A066198">
      <w:pPr>
        <w:pageBreakBefore/>
        <w:shd w:val="clear" w:color="auto"/>
        <w:jc w:val="left"/>
        <w:outlineLvl w:val="0"/>
        <w:rPr>
          <w:rFonts w:ascii="宋体" w:hAnsi="宋体" w:cs="宋体"/>
          <w:bCs/>
          <w:color w:val="auto"/>
          <w:sz w:val="24"/>
          <w:szCs w:val="22"/>
          <w:highlight w:val="none"/>
        </w:rPr>
      </w:pPr>
      <w:r>
        <w:rPr>
          <w:rFonts w:hint="eastAsia" w:ascii="宋体" w:hAnsi="宋体" w:cs="宋体"/>
          <w:bCs/>
          <w:color w:val="auto"/>
          <w:sz w:val="24"/>
          <w:szCs w:val="22"/>
          <w:highlight w:val="none"/>
        </w:rPr>
        <w:t>（七）拟投入本项目人员一览表（格式）</w:t>
      </w:r>
    </w:p>
    <w:p w14:paraId="27D43C76">
      <w:pPr>
        <w:shd w:val="clear" w:color="auto"/>
        <w:spacing w:line="360" w:lineRule="auto"/>
        <w:rPr>
          <w:rFonts w:ascii="宋体" w:hAnsi="宋体" w:cs="宋体"/>
          <w:b/>
          <w:bCs/>
          <w:color w:val="auto"/>
          <w:sz w:val="28"/>
          <w:szCs w:val="28"/>
          <w:highlight w:val="none"/>
        </w:rPr>
      </w:pPr>
    </w:p>
    <w:p w14:paraId="5C73AE02">
      <w:pPr>
        <w:shd w:val="clear" w:color="auto"/>
        <w:spacing w:line="360" w:lineRule="auto"/>
        <w:jc w:val="center"/>
        <w:rPr>
          <w:rFonts w:ascii="宋体" w:hAnsi="宋体" w:cs="宋体"/>
          <w:b/>
          <w:color w:val="auto"/>
          <w:sz w:val="28"/>
          <w:szCs w:val="28"/>
          <w:highlight w:val="none"/>
        </w:rPr>
      </w:pPr>
      <w:r>
        <w:rPr>
          <w:rFonts w:hint="eastAsia" w:ascii="宋体" w:hAnsi="宋体" w:cs="宋体"/>
          <w:b/>
          <w:bCs/>
          <w:color w:val="auto"/>
          <w:sz w:val="28"/>
          <w:szCs w:val="28"/>
          <w:highlight w:val="none"/>
        </w:rPr>
        <w:t>拟投入本项目人员一览表</w:t>
      </w:r>
    </w:p>
    <w:p w14:paraId="52CD0764">
      <w:pPr>
        <w:shd w:val="clear" w:color="auto"/>
        <w:jc w:val="center"/>
        <w:rPr>
          <w:rFonts w:ascii="宋体" w:hAnsi="宋体" w:cs="宋体"/>
          <w:bCs/>
          <w:color w:val="auto"/>
          <w:sz w:val="24"/>
          <w:highlight w:val="none"/>
        </w:rPr>
      </w:pPr>
    </w:p>
    <w:p w14:paraId="20964825">
      <w:pPr>
        <w:shd w:val="clear" w:color="auto"/>
        <w:rPr>
          <w:rFonts w:ascii="宋体" w:hAnsi="宋体" w:cs="宋体"/>
          <w:bCs/>
          <w:color w:val="auto"/>
          <w:sz w:val="24"/>
          <w:highlight w:val="none"/>
        </w:rPr>
      </w:pPr>
      <w:r>
        <w:rPr>
          <w:rFonts w:hint="eastAsia" w:ascii="宋体" w:hAnsi="宋体" w:cs="宋体"/>
          <w:bCs/>
          <w:color w:val="auto"/>
          <w:sz w:val="24"/>
          <w:highlight w:val="none"/>
        </w:rPr>
        <w:t>投标供应商名称（盖章）           采购项目编号：</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97"/>
        <w:gridCol w:w="1979"/>
        <w:gridCol w:w="1797"/>
        <w:gridCol w:w="3058"/>
      </w:tblGrid>
      <w:tr w14:paraId="0EFEF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2397" w:type="dxa"/>
            <w:noWrap w:val="0"/>
            <w:vAlign w:val="center"/>
          </w:tcPr>
          <w:p w14:paraId="5969B8F0">
            <w:pPr>
              <w:shd w:val="clear" w:color="auto"/>
              <w:jc w:val="center"/>
              <w:rPr>
                <w:rFonts w:ascii="宋体" w:hAnsi="宋体" w:cs="宋体"/>
                <w:b/>
                <w:color w:val="auto"/>
                <w:sz w:val="24"/>
                <w:highlight w:val="none"/>
              </w:rPr>
            </w:pPr>
            <w:r>
              <w:rPr>
                <w:rFonts w:hint="eastAsia" w:ascii="宋体" w:hAnsi="宋体" w:cs="宋体"/>
                <w:b/>
                <w:color w:val="auto"/>
                <w:sz w:val="24"/>
                <w:highlight w:val="none"/>
              </w:rPr>
              <w:t>拟在本项目担任职务</w:t>
            </w:r>
          </w:p>
        </w:tc>
        <w:tc>
          <w:tcPr>
            <w:tcW w:w="1979" w:type="dxa"/>
            <w:noWrap w:val="0"/>
            <w:vAlign w:val="center"/>
          </w:tcPr>
          <w:p w14:paraId="553B34FC">
            <w:pPr>
              <w:shd w:val="clear" w:color="auto"/>
              <w:jc w:val="center"/>
              <w:rPr>
                <w:rFonts w:ascii="宋体" w:hAnsi="宋体" w:cs="宋体"/>
                <w:b/>
                <w:color w:val="auto"/>
                <w:sz w:val="24"/>
                <w:highlight w:val="none"/>
              </w:rPr>
            </w:pPr>
            <w:r>
              <w:rPr>
                <w:rFonts w:hint="eastAsia" w:ascii="宋体" w:hAnsi="宋体" w:cs="宋体"/>
                <w:b/>
                <w:color w:val="auto"/>
                <w:sz w:val="24"/>
                <w:highlight w:val="none"/>
              </w:rPr>
              <w:t>姓名</w:t>
            </w:r>
          </w:p>
        </w:tc>
        <w:tc>
          <w:tcPr>
            <w:tcW w:w="1797" w:type="dxa"/>
            <w:noWrap w:val="0"/>
            <w:vAlign w:val="center"/>
          </w:tcPr>
          <w:p w14:paraId="67415B65">
            <w:pPr>
              <w:shd w:val="clear" w:color="auto"/>
              <w:jc w:val="center"/>
              <w:rPr>
                <w:rFonts w:ascii="宋体" w:hAnsi="宋体" w:cs="宋体"/>
                <w:b/>
                <w:color w:val="auto"/>
                <w:sz w:val="24"/>
                <w:highlight w:val="none"/>
              </w:rPr>
            </w:pPr>
            <w:r>
              <w:rPr>
                <w:rFonts w:hint="eastAsia" w:ascii="宋体" w:hAnsi="宋体" w:cs="宋体"/>
                <w:b/>
                <w:color w:val="auto"/>
                <w:sz w:val="24"/>
                <w:highlight w:val="none"/>
              </w:rPr>
              <w:t>职称</w:t>
            </w:r>
          </w:p>
        </w:tc>
        <w:tc>
          <w:tcPr>
            <w:tcW w:w="3058" w:type="dxa"/>
            <w:noWrap w:val="0"/>
            <w:vAlign w:val="center"/>
          </w:tcPr>
          <w:p w14:paraId="6B9E79FD">
            <w:pPr>
              <w:shd w:val="clear" w:color="auto"/>
              <w:jc w:val="center"/>
              <w:rPr>
                <w:rFonts w:ascii="宋体" w:hAnsi="宋体" w:cs="宋体"/>
                <w:b/>
                <w:color w:val="auto"/>
                <w:sz w:val="24"/>
                <w:highlight w:val="none"/>
              </w:rPr>
            </w:pPr>
            <w:r>
              <w:rPr>
                <w:rFonts w:hint="eastAsia" w:ascii="宋体" w:hAnsi="宋体" w:cs="宋体"/>
                <w:b/>
                <w:color w:val="auto"/>
                <w:sz w:val="24"/>
                <w:highlight w:val="none"/>
              </w:rPr>
              <w:t>证书号/身份证号</w:t>
            </w:r>
          </w:p>
        </w:tc>
      </w:tr>
      <w:tr w14:paraId="1EEF3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397" w:type="dxa"/>
            <w:noWrap w:val="0"/>
            <w:vAlign w:val="center"/>
          </w:tcPr>
          <w:p w14:paraId="2D3033B5">
            <w:pPr>
              <w:shd w:val="clear" w:color="auto"/>
              <w:jc w:val="center"/>
              <w:rPr>
                <w:rFonts w:ascii="宋体" w:hAnsi="宋体" w:cs="宋体"/>
                <w:color w:val="auto"/>
                <w:sz w:val="24"/>
                <w:highlight w:val="none"/>
              </w:rPr>
            </w:pPr>
          </w:p>
        </w:tc>
        <w:tc>
          <w:tcPr>
            <w:tcW w:w="1979" w:type="dxa"/>
            <w:noWrap w:val="0"/>
          </w:tcPr>
          <w:p w14:paraId="601E8735">
            <w:pPr>
              <w:shd w:val="clear" w:color="auto"/>
              <w:outlineLvl w:val="0"/>
              <w:rPr>
                <w:rFonts w:ascii="宋体" w:hAnsi="宋体" w:cs="宋体"/>
                <w:bCs/>
                <w:color w:val="auto"/>
                <w:sz w:val="24"/>
                <w:highlight w:val="none"/>
              </w:rPr>
            </w:pPr>
          </w:p>
        </w:tc>
        <w:tc>
          <w:tcPr>
            <w:tcW w:w="1797" w:type="dxa"/>
            <w:noWrap w:val="0"/>
          </w:tcPr>
          <w:p w14:paraId="49F1DD78">
            <w:pPr>
              <w:shd w:val="clear" w:color="auto"/>
              <w:outlineLvl w:val="0"/>
              <w:rPr>
                <w:rFonts w:ascii="宋体" w:hAnsi="宋体" w:cs="宋体"/>
                <w:bCs/>
                <w:color w:val="auto"/>
                <w:sz w:val="24"/>
                <w:highlight w:val="none"/>
              </w:rPr>
            </w:pPr>
          </w:p>
        </w:tc>
        <w:tc>
          <w:tcPr>
            <w:tcW w:w="3058" w:type="dxa"/>
            <w:noWrap w:val="0"/>
          </w:tcPr>
          <w:p w14:paraId="0B5497C0">
            <w:pPr>
              <w:shd w:val="clear" w:color="auto"/>
              <w:outlineLvl w:val="0"/>
              <w:rPr>
                <w:rFonts w:ascii="宋体" w:hAnsi="宋体" w:cs="宋体"/>
                <w:bCs/>
                <w:color w:val="auto"/>
                <w:sz w:val="24"/>
                <w:highlight w:val="none"/>
              </w:rPr>
            </w:pPr>
          </w:p>
        </w:tc>
      </w:tr>
      <w:tr w14:paraId="4320D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2397" w:type="dxa"/>
            <w:noWrap w:val="0"/>
            <w:vAlign w:val="center"/>
          </w:tcPr>
          <w:p w14:paraId="3D581296">
            <w:pPr>
              <w:shd w:val="clear" w:color="auto"/>
              <w:jc w:val="center"/>
              <w:outlineLvl w:val="0"/>
              <w:rPr>
                <w:rFonts w:ascii="宋体" w:hAnsi="宋体" w:cs="宋体"/>
                <w:bCs/>
                <w:color w:val="auto"/>
                <w:sz w:val="24"/>
                <w:highlight w:val="none"/>
              </w:rPr>
            </w:pPr>
          </w:p>
        </w:tc>
        <w:tc>
          <w:tcPr>
            <w:tcW w:w="1979" w:type="dxa"/>
            <w:noWrap w:val="0"/>
          </w:tcPr>
          <w:p w14:paraId="4B070A26">
            <w:pPr>
              <w:shd w:val="clear" w:color="auto"/>
              <w:outlineLvl w:val="0"/>
              <w:rPr>
                <w:rFonts w:ascii="宋体" w:hAnsi="宋体" w:cs="宋体"/>
                <w:bCs/>
                <w:color w:val="auto"/>
                <w:sz w:val="24"/>
                <w:highlight w:val="none"/>
              </w:rPr>
            </w:pPr>
          </w:p>
        </w:tc>
        <w:tc>
          <w:tcPr>
            <w:tcW w:w="1797" w:type="dxa"/>
            <w:noWrap w:val="0"/>
          </w:tcPr>
          <w:p w14:paraId="333E89A4">
            <w:pPr>
              <w:shd w:val="clear" w:color="auto"/>
              <w:outlineLvl w:val="0"/>
              <w:rPr>
                <w:rFonts w:ascii="宋体" w:hAnsi="宋体" w:cs="宋体"/>
                <w:bCs/>
                <w:color w:val="auto"/>
                <w:sz w:val="24"/>
                <w:highlight w:val="none"/>
              </w:rPr>
            </w:pPr>
          </w:p>
        </w:tc>
        <w:tc>
          <w:tcPr>
            <w:tcW w:w="3058" w:type="dxa"/>
            <w:noWrap w:val="0"/>
          </w:tcPr>
          <w:p w14:paraId="35166FB4">
            <w:pPr>
              <w:shd w:val="clear" w:color="auto"/>
              <w:outlineLvl w:val="0"/>
              <w:rPr>
                <w:rFonts w:ascii="宋体" w:hAnsi="宋体" w:cs="宋体"/>
                <w:bCs/>
                <w:color w:val="auto"/>
                <w:sz w:val="24"/>
                <w:highlight w:val="none"/>
              </w:rPr>
            </w:pPr>
          </w:p>
        </w:tc>
      </w:tr>
      <w:tr w14:paraId="2A06B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397" w:type="dxa"/>
            <w:noWrap w:val="0"/>
            <w:vAlign w:val="center"/>
          </w:tcPr>
          <w:p w14:paraId="279CC229">
            <w:pPr>
              <w:shd w:val="clear" w:color="auto"/>
              <w:jc w:val="center"/>
              <w:outlineLvl w:val="0"/>
              <w:rPr>
                <w:rFonts w:ascii="宋体" w:hAnsi="宋体" w:cs="宋体"/>
                <w:bCs/>
                <w:color w:val="auto"/>
                <w:sz w:val="24"/>
                <w:highlight w:val="none"/>
              </w:rPr>
            </w:pPr>
          </w:p>
        </w:tc>
        <w:tc>
          <w:tcPr>
            <w:tcW w:w="1979" w:type="dxa"/>
            <w:noWrap w:val="0"/>
          </w:tcPr>
          <w:p w14:paraId="55E30BA0">
            <w:pPr>
              <w:shd w:val="clear" w:color="auto"/>
              <w:outlineLvl w:val="0"/>
              <w:rPr>
                <w:rFonts w:ascii="宋体" w:hAnsi="宋体" w:cs="宋体"/>
                <w:bCs/>
                <w:color w:val="auto"/>
                <w:sz w:val="24"/>
                <w:highlight w:val="none"/>
              </w:rPr>
            </w:pPr>
          </w:p>
        </w:tc>
        <w:tc>
          <w:tcPr>
            <w:tcW w:w="1797" w:type="dxa"/>
            <w:noWrap w:val="0"/>
          </w:tcPr>
          <w:p w14:paraId="1DFBEE20">
            <w:pPr>
              <w:shd w:val="clear" w:color="auto"/>
              <w:outlineLvl w:val="0"/>
              <w:rPr>
                <w:rFonts w:ascii="宋体" w:hAnsi="宋体" w:cs="宋体"/>
                <w:bCs/>
                <w:color w:val="auto"/>
                <w:sz w:val="24"/>
                <w:highlight w:val="none"/>
              </w:rPr>
            </w:pPr>
          </w:p>
        </w:tc>
        <w:tc>
          <w:tcPr>
            <w:tcW w:w="3058" w:type="dxa"/>
            <w:noWrap w:val="0"/>
          </w:tcPr>
          <w:p w14:paraId="003FF8DF">
            <w:pPr>
              <w:shd w:val="clear" w:color="auto"/>
              <w:outlineLvl w:val="0"/>
              <w:rPr>
                <w:rFonts w:ascii="宋体" w:hAnsi="宋体" w:cs="宋体"/>
                <w:bCs/>
                <w:color w:val="auto"/>
                <w:sz w:val="24"/>
                <w:highlight w:val="none"/>
              </w:rPr>
            </w:pPr>
          </w:p>
        </w:tc>
      </w:tr>
      <w:tr w14:paraId="78537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397" w:type="dxa"/>
            <w:noWrap w:val="0"/>
            <w:vAlign w:val="center"/>
          </w:tcPr>
          <w:p w14:paraId="58AEA43F">
            <w:pPr>
              <w:shd w:val="clear" w:color="auto"/>
              <w:jc w:val="center"/>
              <w:outlineLvl w:val="0"/>
              <w:rPr>
                <w:rFonts w:ascii="宋体" w:hAnsi="宋体" w:cs="宋体"/>
                <w:bCs/>
                <w:color w:val="auto"/>
                <w:sz w:val="24"/>
                <w:highlight w:val="none"/>
              </w:rPr>
            </w:pPr>
          </w:p>
        </w:tc>
        <w:tc>
          <w:tcPr>
            <w:tcW w:w="1979" w:type="dxa"/>
            <w:noWrap w:val="0"/>
          </w:tcPr>
          <w:p w14:paraId="48FF95EE">
            <w:pPr>
              <w:shd w:val="clear" w:color="auto"/>
              <w:outlineLvl w:val="0"/>
              <w:rPr>
                <w:rFonts w:ascii="宋体" w:hAnsi="宋体" w:cs="宋体"/>
                <w:bCs/>
                <w:color w:val="auto"/>
                <w:sz w:val="24"/>
                <w:highlight w:val="none"/>
              </w:rPr>
            </w:pPr>
          </w:p>
        </w:tc>
        <w:tc>
          <w:tcPr>
            <w:tcW w:w="1797" w:type="dxa"/>
            <w:noWrap w:val="0"/>
          </w:tcPr>
          <w:p w14:paraId="569080F2">
            <w:pPr>
              <w:shd w:val="clear" w:color="auto"/>
              <w:outlineLvl w:val="0"/>
              <w:rPr>
                <w:rFonts w:ascii="宋体" w:hAnsi="宋体" w:cs="宋体"/>
                <w:bCs/>
                <w:color w:val="auto"/>
                <w:sz w:val="24"/>
                <w:highlight w:val="none"/>
              </w:rPr>
            </w:pPr>
          </w:p>
        </w:tc>
        <w:tc>
          <w:tcPr>
            <w:tcW w:w="3058" w:type="dxa"/>
            <w:noWrap w:val="0"/>
          </w:tcPr>
          <w:p w14:paraId="2F55A894">
            <w:pPr>
              <w:shd w:val="clear" w:color="auto"/>
              <w:outlineLvl w:val="0"/>
              <w:rPr>
                <w:rFonts w:ascii="宋体" w:hAnsi="宋体" w:cs="宋体"/>
                <w:bCs/>
                <w:color w:val="auto"/>
                <w:sz w:val="24"/>
                <w:highlight w:val="none"/>
              </w:rPr>
            </w:pPr>
          </w:p>
        </w:tc>
      </w:tr>
      <w:tr w14:paraId="535DF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397" w:type="dxa"/>
            <w:noWrap w:val="0"/>
            <w:vAlign w:val="center"/>
          </w:tcPr>
          <w:p w14:paraId="6184FD9B">
            <w:pPr>
              <w:shd w:val="clear" w:color="auto"/>
              <w:jc w:val="center"/>
              <w:outlineLvl w:val="0"/>
              <w:rPr>
                <w:rFonts w:ascii="宋体" w:hAnsi="宋体" w:cs="宋体"/>
                <w:bCs/>
                <w:color w:val="auto"/>
                <w:sz w:val="24"/>
                <w:highlight w:val="none"/>
              </w:rPr>
            </w:pPr>
          </w:p>
        </w:tc>
        <w:tc>
          <w:tcPr>
            <w:tcW w:w="1979" w:type="dxa"/>
            <w:noWrap w:val="0"/>
          </w:tcPr>
          <w:p w14:paraId="4473A3E0">
            <w:pPr>
              <w:shd w:val="clear" w:color="auto"/>
              <w:outlineLvl w:val="0"/>
              <w:rPr>
                <w:rFonts w:ascii="宋体" w:hAnsi="宋体" w:cs="宋体"/>
                <w:bCs/>
                <w:color w:val="auto"/>
                <w:sz w:val="24"/>
                <w:highlight w:val="none"/>
              </w:rPr>
            </w:pPr>
          </w:p>
        </w:tc>
        <w:tc>
          <w:tcPr>
            <w:tcW w:w="1797" w:type="dxa"/>
            <w:noWrap w:val="0"/>
          </w:tcPr>
          <w:p w14:paraId="7E537536">
            <w:pPr>
              <w:shd w:val="clear" w:color="auto"/>
              <w:outlineLvl w:val="0"/>
              <w:rPr>
                <w:rFonts w:ascii="宋体" w:hAnsi="宋体" w:cs="宋体"/>
                <w:bCs/>
                <w:color w:val="auto"/>
                <w:sz w:val="24"/>
                <w:highlight w:val="none"/>
              </w:rPr>
            </w:pPr>
          </w:p>
        </w:tc>
        <w:tc>
          <w:tcPr>
            <w:tcW w:w="3058" w:type="dxa"/>
            <w:noWrap w:val="0"/>
          </w:tcPr>
          <w:p w14:paraId="633201EC">
            <w:pPr>
              <w:shd w:val="clear" w:color="auto"/>
              <w:outlineLvl w:val="0"/>
              <w:rPr>
                <w:rFonts w:ascii="宋体" w:hAnsi="宋体" w:cs="宋体"/>
                <w:bCs/>
                <w:color w:val="auto"/>
                <w:sz w:val="24"/>
                <w:highlight w:val="none"/>
              </w:rPr>
            </w:pPr>
          </w:p>
        </w:tc>
      </w:tr>
      <w:tr w14:paraId="7B2A3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397" w:type="dxa"/>
            <w:noWrap w:val="0"/>
            <w:vAlign w:val="center"/>
          </w:tcPr>
          <w:p w14:paraId="5A662B2A">
            <w:pPr>
              <w:shd w:val="clear" w:color="auto"/>
              <w:jc w:val="center"/>
              <w:outlineLvl w:val="0"/>
              <w:rPr>
                <w:rFonts w:ascii="宋体" w:hAnsi="宋体" w:cs="宋体"/>
                <w:bCs/>
                <w:color w:val="auto"/>
                <w:sz w:val="24"/>
                <w:highlight w:val="none"/>
              </w:rPr>
            </w:pPr>
          </w:p>
        </w:tc>
        <w:tc>
          <w:tcPr>
            <w:tcW w:w="1979" w:type="dxa"/>
            <w:noWrap w:val="0"/>
          </w:tcPr>
          <w:p w14:paraId="4136696A">
            <w:pPr>
              <w:shd w:val="clear" w:color="auto"/>
              <w:outlineLvl w:val="0"/>
              <w:rPr>
                <w:rFonts w:ascii="宋体" w:hAnsi="宋体" w:cs="宋体"/>
                <w:bCs/>
                <w:color w:val="auto"/>
                <w:sz w:val="24"/>
                <w:highlight w:val="none"/>
              </w:rPr>
            </w:pPr>
          </w:p>
        </w:tc>
        <w:tc>
          <w:tcPr>
            <w:tcW w:w="1797" w:type="dxa"/>
            <w:noWrap w:val="0"/>
          </w:tcPr>
          <w:p w14:paraId="3F207586">
            <w:pPr>
              <w:shd w:val="clear" w:color="auto"/>
              <w:outlineLvl w:val="0"/>
              <w:rPr>
                <w:rFonts w:ascii="宋体" w:hAnsi="宋体" w:cs="宋体"/>
                <w:bCs/>
                <w:color w:val="auto"/>
                <w:sz w:val="24"/>
                <w:highlight w:val="none"/>
              </w:rPr>
            </w:pPr>
          </w:p>
        </w:tc>
        <w:tc>
          <w:tcPr>
            <w:tcW w:w="3058" w:type="dxa"/>
            <w:noWrap w:val="0"/>
          </w:tcPr>
          <w:p w14:paraId="21A6CA4E">
            <w:pPr>
              <w:shd w:val="clear" w:color="auto"/>
              <w:outlineLvl w:val="0"/>
              <w:rPr>
                <w:rFonts w:ascii="宋体" w:hAnsi="宋体" w:cs="宋体"/>
                <w:bCs/>
                <w:color w:val="auto"/>
                <w:sz w:val="24"/>
                <w:highlight w:val="none"/>
              </w:rPr>
            </w:pPr>
          </w:p>
        </w:tc>
      </w:tr>
      <w:tr w14:paraId="74F9A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2397" w:type="dxa"/>
            <w:noWrap w:val="0"/>
            <w:vAlign w:val="center"/>
          </w:tcPr>
          <w:p w14:paraId="424BE438">
            <w:pPr>
              <w:shd w:val="clear" w:color="auto"/>
              <w:jc w:val="center"/>
              <w:outlineLvl w:val="0"/>
              <w:rPr>
                <w:rFonts w:ascii="宋体" w:hAnsi="宋体" w:cs="宋体"/>
                <w:bCs/>
                <w:color w:val="auto"/>
                <w:sz w:val="24"/>
                <w:highlight w:val="none"/>
              </w:rPr>
            </w:pPr>
          </w:p>
        </w:tc>
        <w:tc>
          <w:tcPr>
            <w:tcW w:w="1979" w:type="dxa"/>
            <w:noWrap w:val="0"/>
          </w:tcPr>
          <w:p w14:paraId="0906E379">
            <w:pPr>
              <w:shd w:val="clear" w:color="auto"/>
              <w:outlineLvl w:val="0"/>
              <w:rPr>
                <w:rFonts w:ascii="宋体" w:hAnsi="宋体" w:cs="宋体"/>
                <w:bCs/>
                <w:color w:val="auto"/>
                <w:sz w:val="24"/>
                <w:highlight w:val="none"/>
              </w:rPr>
            </w:pPr>
          </w:p>
        </w:tc>
        <w:tc>
          <w:tcPr>
            <w:tcW w:w="1797" w:type="dxa"/>
            <w:noWrap w:val="0"/>
          </w:tcPr>
          <w:p w14:paraId="58939066">
            <w:pPr>
              <w:shd w:val="clear" w:color="auto"/>
              <w:outlineLvl w:val="0"/>
              <w:rPr>
                <w:rFonts w:ascii="宋体" w:hAnsi="宋体" w:cs="宋体"/>
                <w:bCs/>
                <w:color w:val="auto"/>
                <w:sz w:val="24"/>
                <w:highlight w:val="none"/>
              </w:rPr>
            </w:pPr>
          </w:p>
        </w:tc>
        <w:tc>
          <w:tcPr>
            <w:tcW w:w="3058" w:type="dxa"/>
            <w:noWrap w:val="0"/>
          </w:tcPr>
          <w:p w14:paraId="71D2D134">
            <w:pPr>
              <w:shd w:val="clear" w:color="auto"/>
              <w:outlineLvl w:val="0"/>
              <w:rPr>
                <w:rFonts w:ascii="宋体" w:hAnsi="宋体" w:cs="宋体"/>
                <w:bCs/>
                <w:color w:val="auto"/>
                <w:sz w:val="24"/>
                <w:highlight w:val="none"/>
              </w:rPr>
            </w:pPr>
          </w:p>
        </w:tc>
      </w:tr>
    </w:tbl>
    <w:p w14:paraId="08F86511">
      <w:pPr>
        <w:shd w:val="clear" w:color="auto"/>
        <w:rPr>
          <w:rFonts w:ascii="宋体" w:hAnsi="宋体" w:cs="宋体"/>
          <w:color w:val="auto"/>
          <w:highlight w:val="none"/>
        </w:rPr>
      </w:pPr>
    </w:p>
    <w:p w14:paraId="474A7B75">
      <w:pPr>
        <w:shd w:val="clear" w:color="auto"/>
        <w:rPr>
          <w:rFonts w:ascii="宋体" w:hAnsi="宋体" w:cs="宋体"/>
          <w:b/>
          <w:bCs/>
          <w:color w:val="auto"/>
          <w:sz w:val="24"/>
          <w:highlight w:val="none"/>
        </w:rPr>
      </w:pPr>
      <w:r>
        <w:rPr>
          <w:rFonts w:hint="eastAsia" w:ascii="宋体" w:hAnsi="宋体" w:cs="宋体"/>
          <w:b/>
          <w:bCs/>
          <w:color w:val="auto"/>
          <w:sz w:val="24"/>
          <w:highlight w:val="none"/>
        </w:rPr>
        <w:t>法定代表人或法定代表人授权代表签字或盖章：</w:t>
      </w:r>
    </w:p>
    <w:p w14:paraId="7C0C892C">
      <w:pPr>
        <w:shd w:val="clear" w:color="auto"/>
        <w:rPr>
          <w:rFonts w:ascii="宋体" w:hAnsi="宋体" w:cs="宋体"/>
          <w:color w:val="auto"/>
          <w:highlight w:val="none"/>
        </w:rPr>
      </w:pPr>
    </w:p>
    <w:p w14:paraId="6686FC92">
      <w:pPr>
        <w:shd w:val="clear" w:color="auto"/>
        <w:rPr>
          <w:rFonts w:ascii="宋体" w:hAnsi="宋体" w:cs="宋体"/>
          <w:color w:val="auto"/>
          <w:highlight w:val="none"/>
        </w:rPr>
      </w:pPr>
    </w:p>
    <w:p w14:paraId="78B70149">
      <w:pPr>
        <w:shd w:val="clear" w:color="auto"/>
        <w:spacing w:line="460" w:lineRule="exact"/>
        <w:rPr>
          <w:rFonts w:ascii="宋体" w:hAnsi="宋体" w:cs="宋体"/>
          <w:bCs/>
          <w:color w:val="auto"/>
          <w:sz w:val="24"/>
          <w:szCs w:val="22"/>
          <w:highlight w:val="none"/>
        </w:rPr>
      </w:pPr>
      <w:r>
        <w:rPr>
          <w:rFonts w:hint="eastAsia" w:ascii="宋体" w:hAnsi="宋体" w:cs="宋体"/>
          <w:bCs/>
          <w:color w:val="auto"/>
          <w:sz w:val="24"/>
          <w:szCs w:val="22"/>
          <w:highlight w:val="none"/>
        </w:rPr>
        <w:t>注：1.上表如需要自行延长。</w:t>
      </w:r>
    </w:p>
    <w:p w14:paraId="3BC561DD">
      <w:pPr>
        <w:pageBreakBefore/>
        <w:shd w:val="clear" w:color="auto"/>
        <w:spacing w:line="360" w:lineRule="auto"/>
        <w:jc w:val="left"/>
        <w:outlineLvl w:val="0"/>
        <w:rPr>
          <w:rFonts w:ascii="宋体" w:hAnsi="宋体" w:cs="宋体"/>
          <w:bCs/>
          <w:color w:val="auto"/>
          <w:sz w:val="24"/>
          <w:highlight w:val="none"/>
        </w:rPr>
      </w:pPr>
      <w:r>
        <w:rPr>
          <w:rFonts w:hint="eastAsia" w:ascii="宋体" w:hAnsi="宋体" w:cs="宋体"/>
          <w:bCs/>
          <w:color w:val="auto"/>
          <w:sz w:val="24"/>
          <w:szCs w:val="22"/>
          <w:highlight w:val="none"/>
        </w:rPr>
        <w:t>（八）</w:t>
      </w:r>
      <w:r>
        <w:rPr>
          <w:rFonts w:hint="eastAsia" w:ascii="宋体" w:hAnsi="宋体" w:cs="宋体"/>
          <w:bCs/>
          <w:color w:val="auto"/>
          <w:sz w:val="24"/>
          <w:highlight w:val="none"/>
        </w:rPr>
        <w:t>业绩一览表（格式）</w:t>
      </w:r>
    </w:p>
    <w:p w14:paraId="1F2DC179">
      <w:pPr>
        <w:shd w:val="clear" w:color="auto"/>
        <w:spacing w:line="440" w:lineRule="exact"/>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业绩一览表</w:t>
      </w:r>
    </w:p>
    <w:p w14:paraId="304EFA1B">
      <w:pPr>
        <w:shd w:val="clear" w:color="auto"/>
        <w:spacing w:line="400" w:lineRule="exact"/>
        <w:rPr>
          <w:rFonts w:ascii="宋体" w:hAnsi="宋体" w:cs="宋体"/>
          <w:bCs/>
          <w:color w:val="auto"/>
          <w:sz w:val="24"/>
          <w:highlight w:val="none"/>
        </w:rPr>
      </w:pPr>
      <w:r>
        <w:rPr>
          <w:rFonts w:hint="eastAsia" w:ascii="宋体" w:hAnsi="宋体" w:cs="宋体"/>
          <w:bCs/>
          <w:color w:val="auto"/>
          <w:sz w:val="24"/>
          <w:highlight w:val="none"/>
        </w:rPr>
        <w:t>供应商名称（盖章）                    采购编号：</w:t>
      </w:r>
    </w:p>
    <w:tbl>
      <w:tblPr>
        <w:tblStyle w:val="34"/>
        <w:tblpPr w:leftFromText="180" w:rightFromText="180" w:vertAnchor="text" w:horzAnchor="page" w:tblpX="1110" w:tblpY="2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485"/>
        <w:gridCol w:w="2835"/>
        <w:gridCol w:w="1417"/>
        <w:gridCol w:w="1559"/>
        <w:gridCol w:w="1559"/>
      </w:tblGrid>
      <w:tr w14:paraId="72303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0" w:type="dxa"/>
            <w:noWrap w:val="0"/>
            <w:vAlign w:val="center"/>
          </w:tcPr>
          <w:p w14:paraId="3B43723F">
            <w:pPr>
              <w:shd w:val="clear" w:color="auto"/>
              <w:spacing w:line="340" w:lineRule="exact"/>
              <w:jc w:val="center"/>
              <w:outlineLvl w:val="0"/>
              <w:rPr>
                <w:rFonts w:ascii="宋体" w:hAnsi="宋体" w:cs="宋体"/>
                <w:bCs/>
                <w:color w:val="auto"/>
                <w:sz w:val="24"/>
                <w:highlight w:val="none"/>
              </w:rPr>
            </w:pPr>
            <w:r>
              <w:rPr>
                <w:rFonts w:hint="eastAsia" w:ascii="宋体" w:hAnsi="宋体" w:cs="宋体"/>
                <w:bCs/>
                <w:color w:val="auto"/>
                <w:sz w:val="24"/>
                <w:highlight w:val="none"/>
              </w:rPr>
              <w:t>序号</w:t>
            </w:r>
          </w:p>
        </w:tc>
        <w:tc>
          <w:tcPr>
            <w:tcW w:w="1485" w:type="dxa"/>
            <w:noWrap w:val="0"/>
            <w:vAlign w:val="center"/>
          </w:tcPr>
          <w:p w14:paraId="4757C8AE">
            <w:pPr>
              <w:shd w:val="clear" w:color="auto"/>
              <w:jc w:val="center"/>
              <w:outlineLvl w:val="0"/>
              <w:rPr>
                <w:rFonts w:ascii="宋体" w:hAnsi="宋体" w:cs="宋体"/>
                <w:bCs/>
                <w:color w:val="auto"/>
                <w:sz w:val="24"/>
                <w:highlight w:val="none"/>
              </w:rPr>
            </w:pPr>
            <w:r>
              <w:rPr>
                <w:rFonts w:hint="eastAsia" w:ascii="宋体" w:hAnsi="宋体" w:cs="宋体"/>
                <w:bCs/>
                <w:color w:val="auto"/>
                <w:sz w:val="24"/>
                <w:highlight w:val="none"/>
              </w:rPr>
              <w:t>项目名称</w:t>
            </w:r>
          </w:p>
        </w:tc>
        <w:tc>
          <w:tcPr>
            <w:tcW w:w="2835" w:type="dxa"/>
            <w:noWrap w:val="0"/>
            <w:vAlign w:val="center"/>
          </w:tcPr>
          <w:p w14:paraId="68F23130">
            <w:pPr>
              <w:shd w:val="clear" w:color="auto"/>
              <w:jc w:val="center"/>
              <w:outlineLvl w:val="0"/>
              <w:rPr>
                <w:rFonts w:ascii="宋体" w:hAnsi="宋体" w:cs="宋体"/>
                <w:bCs/>
                <w:color w:val="auto"/>
                <w:sz w:val="24"/>
                <w:highlight w:val="none"/>
              </w:rPr>
            </w:pPr>
            <w:r>
              <w:rPr>
                <w:rFonts w:hint="eastAsia" w:ascii="宋体" w:hAnsi="宋体" w:cs="宋体"/>
                <w:bCs/>
                <w:color w:val="auto"/>
                <w:sz w:val="24"/>
                <w:highlight w:val="none"/>
              </w:rPr>
              <w:t>业主单位</w:t>
            </w:r>
          </w:p>
        </w:tc>
        <w:tc>
          <w:tcPr>
            <w:tcW w:w="1417" w:type="dxa"/>
            <w:noWrap w:val="0"/>
            <w:vAlign w:val="center"/>
          </w:tcPr>
          <w:p w14:paraId="48CC19CA">
            <w:pPr>
              <w:shd w:val="clear" w:color="auto"/>
              <w:jc w:val="center"/>
              <w:outlineLvl w:val="0"/>
              <w:rPr>
                <w:rFonts w:ascii="宋体" w:hAnsi="宋体" w:cs="宋体"/>
                <w:bCs/>
                <w:color w:val="auto"/>
                <w:sz w:val="24"/>
                <w:highlight w:val="none"/>
              </w:rPr>
            </w:pPr>
            <w:r>
              <w:rPr>
                <w:rFonts w:hint="eastAsia" w:ascii="宋体" w:hAnsi="宋体" w:cs="宋体"/>
                <w:bCs/>
                <w:color w:val="auto"/>
                <w:sz w:val="24"/>
                <w:highlight w:val="none"/>
              </w:rPr>
              <w:t>签订时间</w:t>
            </w:r>
          </w:p>
        </w:tc>
        <w:tc>
          <w:tcPr>
            <w:tcW w:w="1559" w:type="dxa"/>
            <w:noWrap w:val="0"/>
            <w:vAlign w:val="center"/>
          </w:tcPr>
          <w:p w14:paraId="6C0A03F1">
            <w:pPr>
              <w:shd w:val="clear" w:color="auto"/>
              <w:jc w:val="center"/>
              <w:outlineLvl w:val="0"/>
              <w:rPr>
                <w:rFonts w:ascii="宋体" w:hAnsi="宋体" w:cs="宋体"/>
                <w:bCs/>
                <w:color w:val="auto"/>
                <w:sz w:val="24"/>
                <w:highlight w:val="none"/>
              </w:rPr>
            </w:pPr>
            <w:r>
              <w:rPr>
                <w:rFonts w:hint="eastAsia" w:ascii="宋体" w:hAnsi="宋体" w:cs="宋体"/>
                <w:bCs/>
                <w:color w:val="auto"/>
                <w:sz w:val="24"/>
                <w:highlight w:val="none"/>
              </w:rPr>
              <w:t>完成情况</w:t>
            </w:r>
          </w:p>
        </w:tc>
        <w:tc>
          <w:tcPr>
            <w:tcW w:w="1559" w:type="dxa"/>
            <w:noWrap w:val="0"/>
            <w:vAlign w:val="center"/>
          </w:tcPr>
          <w:p w14:paraId="72410A8E">
            <w:pPr>
              <w:shd w:val="clear" w:color="auto"/>
              <w:jc w:val="center"/>
              <w:outlineLvl w:val="0"/>
              <w:rPr>
                <w:rFonts w:ascii="宋体" w:hAnsi="宋体" w:cs="宋体"/>
                <w:bCs/>
                <w:color w:val="auto"/>
                <w:sz w:val="24"/>
                <w:highlight w:val="none"/>
              </w:rPr>
            </w:pPr>
            <w:r>
              <w:rPr>
                <w:rFonts w:hint="eastAsia" w:ascii="宋体" w:hAnsi="宋体" w:cs="宋体"/>
                <w:bCs/>
                <w:color w:val="auto"/>
                <w:sz w:val="24"/>
                <w:highlight w:val="none"/>
              </w:rPr>
              <w:t>备注</w:t>
            </w:r>
          </w:p>
        </w:tc>
      </w:tr>
      <w:tr w14:paraId="29528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0" w:type="dxa"/>
            <w:noWrap w:val="0"/>
            <w:vAlign w:val="center"/>
          </w:tcPr>
          <w:p w14:paraId="147D31C3">
            <w:pPr>
              <w:shd w:val="clear" w:color="auto"/>
              <w:spacing w:line="340" w:lineRule="exact"/>
              <w:jc w:val="center"/>
              <w:outlineLvl w:val="0"/>
              <w:rPr>
                <w:rFonts w:ascii="宋体" w:hAnsi="宋体" w:cs="宋体"/>
                <w:bCs/>
                <w:color w:val="auto"/>
                <w:sz w:val="24"/>
                <w:highlight w:val="none"/>
              </w:rPr>
            </w:pPr>
            <w:r>
              <w:rPr>
                <w:rFonts w:hint="eastAsia" w:ascii="宋体" w:hAnsi="宋体" w:cs="宋体"/>
                <w:bCs/>
                <w:color w:val="auto"/>
                <w:sz w:val="24"/>
                <w:highlight w:val="none"/>
              </w:rPr>
              <w:t>1</w:t>
            </w:r>
          </w:p>
        </w:tc>
        <w:tc>
          <w:tcPr>
            <w:tcW w:w="1485" w:type="dxa"/>
            <w:noWrap w:val="0"/>
            <w:vAlign w:val="center"/>
          </w:tcPr>
          <w:p w14:paraId="7C56D990">
            <w:pPr>
              <w:shd w:val="clear" w:color="auto"/>
              <w:jc w:val="center"/>
              <w:outlineLvl w:val="0"/>
              <w:rPr>
                <w:rFonts w:ascii="宋体" w:hAnsi="宋体" w:cs="宋体"/>
                <w:bCs/>
                <w:color w:val="auto"/>
                <w:sz w:val="24"/>
                <w:highlight w:val="none"/>
              </w:rPr>
            </w:pPr>
          </w:p>
        </w:tc>
        <w:tc>
          <w:tcPr>
            <w:tcW w:w="2835" w:type="dxa"/>
            <w:noWrap w:val="0"/>
            <w:vAlign w:val="center"/>
          </w:tcPr>
          <w:p w14:paraId="7BCAAC86">
            <w:pPr>
              <w:shd w:val="clear" w:color="auto"/>
              <w:jc w:val="center"/>
              <w:outlineLvl w:val="0"/>
              <w:rPr>
                <w:rFonts w:ascii="宋体" w:hAnsi="宋体" w:cs="宋体"/>
                <w:bCs/>
                <w:color w:val="auto"/>
                <w:sz w:val="24"/>
                <w:highlight w:val="none"/>
              </w:rPr>
            </w:pPr>
          </w:p>
        </w:tc>
        <w:tc>
          <w:tcPr>
            <w:tcW w:w="1417" w:type="dxa"/>
            <w:noWrap w:val="0"/>
          </w:tcPr>
          <w:p w14:paraId="16C65BDC">
            <w:pPr>
              <w:shd w:val="clear" w:color="auto"/>
              <w:jc w:val="center"/>
              <w:outlineLvl w:val="0"/>
              <w:rPr>
                <w:rFonts w:ascii="宋体" w:hAnsi="宋体" w:cs="宋体"/>
                <w:bCs/>
                <w:color w:val="auto"/>
                <w:sz w:val="24"/>
                <w:highlight w:val="none"/>
              </w:rPr>
            </w:pPr>
          </w:p>
        </w:tc>
        <w:tc>
          <w:tcPr>
            <w:tcW w:w="1559" w:type="dxa"/>
            <w:noWrap w:val="0"/>
            <w:vAlign w:val="center"/>
          </w:tcPr>
          <w:p w14:paraId="2E6D9F8F">
            <w:pPr>
              <w:shd w:val="clear" w:color="auto"/>
              <w:jc w:val="center"/>
              <w:outlineLvl w:val="0"/>
              <w:rPr>
                <w:rFonts w:ascii="宋体" w:hAnsi="宋体" w:cs="宋体"/>
                <w:bCs/>
                <w:color w:val="auto"/>
                <w:sz w:val="24"/>
                <w:highlight w:val="none"/>
              </w:rPr>
            </w:pPr>
          </w:p>
        </w:tc>
        <w:tc>
          <w:tcPr>
            <w:tcW w:w="1559" w:type="dxa"/>
            <w:noWrap w:val="0"/>
          </w:tcPr>
          <w:p w14:paraId="57777332">
            <w:pPr>
              <w:shd w:val="clear" w:color="auto"/>
              <w:jc w:val="center"/>
              <w:outlineLvl w:val="0"/>
              <w:rPr>
                <w:rFonts w:ascii="宋体" w:hAnsi="宋体" w:cs="宋体"/>
                <w:bCs/>
                <w:color w:val="auto"/>
                <w:sz w:val="24"/>
                <w:highlight w:val="none"/>
              </w:rPr>
            </w:pPr>
          </w:p>
        </w:tc>
      </w:tr>
      <w:tr w14:paraId="33DAA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0" w:type="dxa"/>
            <w:noWrap w:val="0"/>
            <w:vAlign w:val="center"/>
          </w:tcPr>
          <w:p w14:paraId="18827BFD">
            <w:pPr>
              <w:shd w:val="clear" w:color="auto"/>
              <w:spacing w:line="340" w:lineRule="exact"/>
              <w:jc w:val="center"/>
              <w:outlineLvl w:val="0"/>
              <w:rPr>
                <w:rFonts w:ascii="宋体" w:hAnsi="宋体" w:cs="宋体"/>
                <w:bCs/>
                <w:color w:val="auto"/>
                <w:sz w:val="24"/>
                <w:highlight w:val="none"/>
              </w:rPr>
            </w:pPr>
            <w:r>
              <w:rPr>
                <w:rFonts w:hint="eastAsia" w:ascii="宋体" w:hAnsi="宋体" w:cs="宋体"/>
                <w:bCs/>
                <w:color w:val="auto"/>
                <w:sz w:val="24"/>
                <w:highlight w:val="none"/>
              </w:rPr>
              <w:t>2</w:t>
            </w:r>
          </w:p>
        </w:tc>
        <w:tc>
          <w:tcPr>
            <w:tcW w:w="1485" w:type="dxa"/>
            <w:noWrap w:val="0"/>
            <w:vAlign w:val="center"/>
          </w:tcPr>
          <w:p w14:paraId="2E40423C">
            <w:pPr>
              <w:shd w:val="clear" w:color="auto"/>
              <w:jc w:val="center"/>
              <w:outlineLvl w:val="0"/>
              <w:rPr>
                <w:rFonts w:ascii="宋体" w:hAnsi="宋体" w:cs="宋体"/>
                <w:bCs/>
                <w:color w:val="auto"/>
                <w:sz w:val="24"/>
                <w:highlight w:val="none"/>
              </w:rPr>
            </w:pPr>
          </w:p>
        </w:tc>
        <w:tc>
          <w:tcPr>
            <w:tcW w:w="2835" w:type="dxa"/>
            <w:noWrap w:val="0"/>
            <w:vAlign w:val="center"/>
          </w:tcPr>
          <w:p w14:paraId="73DA82EA">
            <w:pPr>
              <w:shd w:val="clear" w:color="auto"/>
              <w:jc w:val="center"/>
              <w:outlineLvl w:val="0"/>
              <w:rPr>
                <w:rFonts w:ascii="宋体" w:hAnsi="宋体" w:cs="宋体"/>
                <w:bCs/>
                <w:color w:val="auto"/>
                <w:sz w:val="24"/>
                <w:highlight w:val="none"/>
              </w:rPr>
            </w:pPr>
          </w:p>
        </w:tc>
        <w:tc>
          <w:tcPr>
            <w:tcW w:w="1417" w:type="dxa"/>
            <w:noWrap w:val="0"/>
          </w:tcPr>
          <w:p w14:paraId="5C4E59FC">
            <w:pPr>
              <w:shd w:val="clear" w:color="auto"/>
              <w:jc w:val="center"/>
              <w:outlineLvl w:val="0"/>
              <w:rPr>
                <w:rFonts w:ascii="宋体" w:hAnsi="宋体" w:cs="宋体"/>
                <w:bCs/>
                <w:color w:val="auto"/>
                <w:sz w:val="24"/>
                <w:highlight w:val="none"/>
              </w:rPr>
            </w:pPr>
          </w:p>
        </w:tc>
        <w:tc>
          <w:tcPr>
            <w:tcW w:w="1559" w:type="dxa"/>
            <w:noWrap w:val="0"/>
            <w:vAlign w:val="center"/>
          </w:tcPr>
          <w:p w14:paraId="4ACFD87F">
            <w:pPr>
              <w:shd w:val="clear" w:color="auto"/>
              <w:jc w:val="center"/>
              <w:outlineLvl w:val="0"/>
              <w:rPr>
                <w:rFonts w:ascii="宋体" w:hAnsi="宋体" w:cs="宋体"/>
                <w:bCs/>
                <w:color w:val="auto"/>
                <w:sz w:val="24"/>
                <w:highlight w:val="none"/>
              </w:rPr>
            </w:pPr>
          </w:p>
        </w:tc>
        <w:tc>
          <w:tcPr>
            <w:tcW w:w="1559" w:type="dxa"/>
            <w:noWrap w:val="0"/>
          </w:tcPr>
          <w:p w14:paraId="17B725D5">
            <w:pPr>
              <w:shd w:val="clear" w:color="auto"/>
              <w:jc w:val="center"/>
              <w:outlineLvl w:val="0"/>
              <w:rPr>
                <w:rFonts w:ascii="宋体" w:hAnsi="宋体" w:cs="宋体"/>
                <w:bCs/>
                <w:color w:val="auto"/>
                <w:sz w:val="24"/>
                <w:highlight w:val="none"/>
              </w:rPr>
            </w:pPr>
          </w:p>
        </w:tc>
      </w:tr>
      <w:tr w14:paraId="07F05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0" w:type="dxa"/>
            <w:noWrap w:val="0"/>
            <w:vAlign w:val="center"/>
          </w:tcPr>
          <w:p w14:paraId="0D07120D">
            <w:pPr>
              <w:shd w:val="clear" w:color="auto"/>
              <w:spacing w:line="340" w:lineRule="exact"/>
              <w:jc w:val="center"/>
              <w:outlineLvl w:val="0"/>
              <w:rPr>
                <w:rFonts w:ascii="宋体" w:hAnsi="宋体" w:cs="宋体"/>
                <w:bCs/>
                <w:color w:val="auto"/>
                <w:sz w:val="24"/>
                <w:highlight w:val="none"/>
              </w:rPr>
            </w:pPr>
            <w:r>
              <w:rPr>
                <w:rFonts w:hint="eastAsia" w:ascii="宋体" w:hAnsi="宋体" w:cs="宋体"/>
                <w:bCs/>
                <w:color w:val="auto"/>
                <w:sz w:val="24"/>
                <w:highlight w:val="none"/>
              </w:rPr>
              <w:t>…</w:t>
            </w:r>
          </w:p>
        </w:tc>
        <w:tc>
          <w:tcPr>
            <w:tcW w:w="1485" w:type="dxa"/>
            <w:noWrap w:val="0"/>
            <w:vAlign w:val="center"/>
          </w:tcPr>
          <w:p w14:paraId="35CDD959">
            <w:pPr>
              <w:shd w:val="clear" w:color="auto"/>
              <w:jc w:val="center"/>
              <w:outlineLvl w:val="0"/>
              <w:rPr>
                <w:rFonts w:ascii="宋体" w:hAnsi="宋体" w:cs="宋体"/>
                <w:bCs/>
                <w:color w:val="auto"/>
                <w:sz w:val="24"/>
                <w:highlight w:val="none"/>
              </w:rPr>
            </w:pPr>
          </w:p>
        </w:tc>
        <w:tc>
          <w:tcPr>
            <w:tcW w:w="2835" w:type="dxa"/>
            <w:noWrap w:val="0"/>
            <w:vAlign w:val="center"/>
          </w:tcPr>
          <w:p w14:paraId="11952B19">
            <w:pPr>
              <w:shd w:val="clear" w:color="auto"/>
              <w:jc w:val="center"/>
              <w:outlineLvl w:val="0"/>
              <w:rPr>
                <w:rFonts w:ascii="宋体" w:hAnsi="宋体" w:cs="宋体"/>
                <w:bCs/>
                <w:color w:val="auto"/>
                <w:sz w:val="24"/>
                <w:highlight w:val="none"/>
              </w:rPr>
            </w:pPr>
          </w:p>
        </w:tc>
        <w:tc>
          <w:tcPr>
            <w:tcW w:w="1417" w:type="dxa"/>
            <w:noWrap w:val="0"/>
          </w:tcPr>
          <w:p w14:paraId="386ACB16">
            <w:pPr>
              <w:shd w:val="clear" w:color="auto"/>
              <w:jc w:val="center"/>
              <w:outlineLvl w:val="0"/>
              <w:rPr>
                <w:rFonts w:ascii="宋体" w:hAnsi="宋体" w:cs="宋体"/>
                <w:bCs/>
                <w:color w:val="auto"/>
                <w:sz w:val="24"/>
                <w:highlight w:val="none"/>
              </w:rPr>
            </w:pPr>
          </w:p>
        </w:tc>
        <w:tc>
          <w:tcPr>
            <w:tcW w:w="1559" w:type="dxa"/>
            <w:noWrap w:val="0"/>
            <w:vAlign w:val="center"/>
          </w:tcPr>
          <w:p w14:paraId="67830073">
            <w:pPr>
              <w:shd w:val="clear" w:color="auto"/>
              <w:jc w:val="center"/>
              <w:outlineLvl w:val="0"/>
              <w:rPr>
                <w:rFonts w:ascii="宋体" w:hAnsi="宋体" w:cs="宋体"/>
                <w:bCs/>
                <w:color w:val="auto"/>
                <w:sz w:val="24"/>
                <w:highlight w:val="none"/>
              </w:rPr>
            </w:pPr>
          </w:p>
        </w:tc>
        <w:tc>
          <w:tcPr>
            <w:tcW w:w="1559" w:type="dxa"/>
            <w:noWrap w:val="0"/>
          </w:tcPr>
          <w:p w14:paraId="41E1EB37">
            <w:pPr>
              <w:shd w:val="clear" w:color="auto"/>
              <w:jc w:val="center"/>
              <w:outlineLvl w:val="0"/>
              <w:rPr>
                <w:rFonts w:ascii="宋体" w:hAnsi="宋体" w:cs="宋体"/>
                <w:bCs/>
                <w:color w:val="auto"/>
                <w:sz w:val="24"/>
                <w:highlight w:val="none"/>
              </w:rPr>
            </w:pPr>
          </w:p>
        </w:tc>
      </w:tr>
    </w:tbl>
    <w:p w14:paraId="6FDA8498">
      <w:pPr>
        <w:shd w:val="clear" w:color="auto"/>
        <w:outlineLvl w:val="0"/>
        <w:rPr>
          <w:rFonts w:ascii="宋体" w:hAnsi="宋体" w:cs="宋体"/>
          <w:b/>
          <w:bCs/>
          <w:color w:val="auto"/>
          <w:sz w:val="28"/>
          <w:szCs w:val="28"/>
          <w:highlight w:val="none"/>
        </w:rPr>
      </w:pPr>
      <w:r>
        <w:rPr>
          <w:rFonts w:hint="eastAsia" w:ascii="宋体" w:hAnsi="宋体" w:cs="宋体"/>
          <w:b/>
          <w:bCs/>
          <w:color w:val="auto"/>
          <w:sz w:val="28"/>
          <w:szCs w:val="28"/>
          <w:highlight w:val="none"/>
        </w:rPr>
        <w:t>法定代表人或法定代表人授权代表签字或盖章：</w:t>
      </w:r>
    </w:p>
    <w:p w14:paraId="156A67EC">
      <w:pPr>
        <w:shd w:val="clear" w:color="auto"/>
        <w:spacing w:line="440" w:lineRule="exact"/>
        <w:rPr>
          <w:rFonts w:ascii="宋体" w:hAnsi="宋体" w:cs="宋体"/>
          <w:color w:val="auto"/>
          <w:sz w:val="24"/>
          <w:highlight w:val="none"/>
        </w:rPr>
      </w:pPr>
      <w:r>
        <w:rPr>
          <w:rFonts w:hint="eastAsia" w:ascii="宋体" w:hAnsi="宋体" w:cs="宋体"/>
          <w:color w:val="auto"/>
          <w:sz w:val="24"/>
          <w:highlight w:val="none"/>
        </w:rPr>
        <w:t>备注：合同等复印件请附于本表之后。</w:t>
      </w:r>
    </w:p>
    <w:p w14:paraId="1C691616">
      <w:pPr>
        <w:shd w:val="clear" w:color="auto"/>
        <w:jc w:val="left"/>
        <w:outlineLvl w:val="0"/>
        <w:rPr>
          <w:rFonts w:ascii="宋体" w:hAnsi="宋体" w:cs="宋体"/>
          <w:bCs/>
          <w:color w:val="auto"/>
          <w:sz w:val="24"/>
          <w:szCs w:val="22"/>
          <w:highlight w:val="none"/>
        </w:rPr>
      </w:pPr>
      <w:r>
        <w:rPr>
          <w:rFonts w:hint="eastAsia" w:ascii="宋体" w:hAnsi="宋体" w:cs="宋体"/>
          <w:color w:val="auto"/>
          <w:sz w:val="24"/>
          <w:highlight w:val="none"/>
        </w:rPr>
        <w:t>表格不够可自行扩展。</w:t>
      </w:r>
    </w:p>
    <w:p w14:paraId="2C096FA5">
      <w:pPr>
        <w:shd w:val="clear" w:color="auto"/>
        <w:jc w:val="left"/>
        <w:outlineLvl w:val="0"/>
        <w:rPr>
          <w:rFonts w:ascii="宋体" w:hAnsi="宋体" w:cs="宋体"/>
          <w:bCs/>
          <w:color w:val="auto"/>
          <w:sz w:val="24"/>
          <w:szCs w:val="22"/>
          <w:highlight w:val="none"/>
        </w:rPr>
      </w:pPr>
    </w:p>
    <w:p w14:paraId="20B1ECE8">
      <w:pPr>
        <w:pStyle w:val="14"/>
        <w:shd w:val="clear" w:color="auto"/>
        <w:rPr>
          <w:rFonts w:ascii="宋体" w:hAnsi="宋体" w:eastAsia="宋体" w:cs="宋体"/>
          <w:bCs/>
          <w:color w:val="auto"/>
          <w:sz w:val="24"/>
          <w:szCs w:val="22"/>
          <w:highlight w:val="none"/>
        </w:rPr>
      </w:pPr>
    </w:p>
    <w:p w14:paraId="139B4D3C">
      <w:pPr>
        <w:pStyle w:val="30"/>
        <w:shd w:val="clear" w:color="auto"/>
        <w:rPr>
          <w:rFonts w:ascii="宋体" w:hAnsi="宋体" w:cs="宋体"/>
          <w:bCs/>
          <w:color w:val="auto"/>
          <w:sz w:val="24"/>
          <w:szCs w:val="22"/>
          <w:highlight w:val="none"/>
        </w:rPr>
      </w:pPr>
    </w:p>
    <w:p w14:paraId="673FF664">
      <w:pPr>
        <w:shd w:val="clear" w:color="auto"/>
        <w:rPr>
          <w:rFonts w:ascii="宋体" w:hAnsi="宋体" w:cs="宋体"/>
          <w:bCs/>
          <w:color w:val="auto"/>
          <w:sz w:val="24"/>
          <w:szCs w:val="22"/>
          <w:highlight w:val="none"/>
        </w:rPr>
      </w:pPr>
    </w:p>
    <w:p w14:paraId="502CFA06">
      <w:pPr>
        <w:pStyle w:val="14"/>
        <w:shd w:val="clear" w:color="auto"/>
        <w:rPr>
          <w:rFonts w:ascii="宋体" w:hAnsi="宋体" w:eastAsia="宋体" w:cs="宋体"/>
          <w:bCs/>
          <w:color w:val="auto"/>
          <w:sz w:val="24"/>
          <w:szCs w:val="22"/>
          <w:highlight w:val="none"/>
        </w:rPr>
      </w:pPr>
    </w:p>
    <w:p w14:paraId="61C93E51">
      <w:pPr>
        <w:pStyle w:val="30"/>
        <w:shd w:val="clear" w:color="auto"/>
        <w:rPr>
          <w:rFonts w:ascii="宋体" w:hAnsi="宋体" w:cs="宋体"/>
          <w:bCs/>
          <w:color w:val="auto"/>
          <w:sz w:val="24"/>
          <w:szCs w:val="22"/>
          <w:highlight w:val="none"/>
        </w:rPr>
      </w:pPr>
    </w:p>
    <w:p w14:paraId="11153EF0">
      <w:pPr>
        <w:shd w:val="clear" w:color="auto"/>
        <w:rPr>
          <w:rFonts w:ascii="宋体" w:hAnsi="宋体" w:cs="宋体"/>
          <w:bCs/>
          <w:color w:val="auto"/>
          <w:sz w:val="24"/>
          <w:szCs w:val="22"/>
          <w:highlight w:val="none"/>
        </w:rPr>
      </w:pPr>
    </w:p>
    <w:p w14:paraId="485631A8">
      <w:pPr>
        <w:pStyle w:val="14"/>
        <w:shd w:val="clear" w:color="auto"/>
        <w:rPr>
          <w:rFonts w:ascii="宋体" w:hAnsi="宋体" w:eastAsia="宋体" w:cs="宋体"/>
          <w:bCs/>
          <w:color w:val="auto"/>
          <w:sz w:val="24"/>
          <w:szCs w:val="22"/>
          <w:highlight w:val="none"/>
        </w:rPr>
      </w:pPr>
    </w:p>
    <w:p w14:paraId="08BCFF18">
      <w:pPr>
        <w:pStyle w:val="30"/>
        <w:shd w:val="clear" w:color="auto"/>
        <w:rPr>
          <w:rFonts w:ascii="宋体" w:hAnsi="宋体" w:cs="宋体"/>
          <w:bCs/>
          <w:color w:val="auto"/>
          <w:sz w:val="24"/>
          <w:szCs w:val="22"/>
          <w:highlight w:val="none"/>
        </w:rPr>
      </w:pPr>
    </w:p>
    <w:p w14:paraId="79A95D3B">
      <w:pPr>
        <w:shd w:val="clear" w:color="auto"/>
        <w:rPr>
          <w:rFonts w:ascii="宋体" w:hAnsi="宋体" w:cs="宋体"/>
          <w:bCs/>
          <w:color w:val="auto"/>
          <w:sz w:val="24"/>
          <w:szCs w:val="22"/>
          <w:highlight w:val="none"/>
        </w:rPr>
      </w:pPr>
    </w:p>
    <w:p w14:paraId="1CF31C91">
      <w:pPr>
        <w:pStyle w:val="14"/>
        <w:shd w:val="clear" w:color="auto"/>
        <w:rPr>
          <w:rFonts w:ascii="宋体" w:hAnsi="宋体" w:eastAsia="宋体" w:cs="宋体"/>
          <w:bCs/>
          <w:color w:val="auto"/>
          <w:sz w:val="24"/>
          <w:szCs w:val="22"/>
          <w:highlight w:val="none"/>
        </w:rPr>
      </w:pPr>
    </w:p>
    <w:p w14:paraId="2F334793">
      <w:pPr>
        <w:pStyle w:val="30"/>
        <w:shd w:val="clear" w:color="auto"/>
        <w:rPr>
          <w:rFonts w:ascii="宋体" w:hAnsi="宋体" w:cs="宋体"/>
          <w:bCs/>
          <w:color w:val="auto"/>
          <w:sz w:val="24"/>
          <w:szCs w:val="22"/>
          <w:highlight w:val="none"/>
        </w:rPr>
      </w:pPr>
    </w:p>
    <w:p w14:paraId="2619F13F">
      <w:pPr>
        <w:shd w:val="clear" w:color="auto"/>
        <w:rPr>
          <w:rFonts w:ascii="宋体" w:hAnsi="宋体" w:cs="宋体"/>
          <w:bCs/>
          <w:color w:val="auto"/>
          <w:sz w:val="24"/>
          <w:szCs w:val="22"/>
          <w:highlight w:val="none"/>
        </w:rPr>
      </w:pPr>
    </w:p>
    <w:p w14:paraId="03D7F298">
      <w:pPr>
        <w:pStyle w:val="14"/>
        <w:shd w:val="clear" w:color="auto"/>
        <w:rPr>
          <w:rFonts w:ascii="宋体" w:hAnsi="宋体" w:eastAsia="宋体" w:cs="宋体"/>
          <w:bCs/>
          <w:color w:val="auto"/>
          <w:sz w:val="24"/>
          <w:szCs w:val="22"/>
          <w:highlight w:val="none"/>
        </w:rPr>
      </w:pPr>
    </w:p>
    <w:p w14:paraId="5DCC72B4">
      <w:pPr>
        <w:pStyle w:val="30"/>
        <w:shd w:val="clear" w:color="auto"/>
        <w:rPr>
          <w:rFonts w:ascii="宋体" w:hAnsi="宋体" w:cs="宋体"/>
          <w:bCs/>
          <w:color w:val="auto"/>
          <w:sz w:val="24"/>
          <w:szCs w:val="22"/>
          <w:highlight w:val="none"/>
        </w:rPr>
      </w:pPr>
    </w:p>
    <w:p w14:paraId="3723DD67">
      <w:pPr>
        <w:shd w:val="clear" w:color="auto"/>
        <w:rPr>
          <w:rFonts w:ascii="宋体" w:hAnsi="宋体" w:cs="宋体"/>
          <w:bCs/>
          <w:color w:val="auto"/>
          <w:sz w:val="24"/>
          <w:szCs w:val="22"/>
          <w:highlight w:val="none"/>
        </w:rPr>
      </w:pPr>
    </w:p>
    <w:p w14:paraId="64C137DA">
      <w:pPr>
        <w:pStyle w:val="14"/>
        <w:shd w:val="clear" w:color="auto"/>
        <w:rPr>
          <w:rFonts w:ascii="宋体" w:hAnsi="宋体" w:eastAsia="宋体" w:cs="宋体"/>
          <w:bCs/>
          <w:color w:val="auto"/>
          <w:sz w:val="24"/>
          <w:szCs w:val="22"/>
          <w:highlight w:val="none"/>
        </w:rPr>
      </w:pPr>
    </w:p>
    <w:p w14:paraId="38877ABE">
      <w:pPr>
        <w:pStyle w:val="30"/>
        <w:shd w:val="clear" w:color="auto"/>
        <w:rPr>
          <w:rFonts w:ascii="宋体" w:hAnsi="宋体" w:cs="宋体"/>
          <w:bCs/>
          <w:color w:val="auto"/>
          <w:sz w:val="24"/>
          <w:szCs w:val="22"/>
          <w:highlight w:val="none"/>
        </w:rPr>
      </w:pPr>
    </w:p>
    <w:p w14:paraId="2B325C4C">
      <w:pPr>
        <w:shd w:val="clear" w:color="auto"/>
        <w:rPr>
          <w:rFonts w:ascii="宋体" w:hAnsi="宋体" w:cs="宋体"/>
          <w:bCs/>
          <w:color w:val="auto"/>
          <w:sz w:val="24"/>
          <w:szCs w:val="22"/>
          <w:highlight w:val="none"/>
        </w:rPr>
      </w:pPr>
    </w:p>
    <w:p w14:paraId="319E845A">
      <w:pPr>
        <w:pStyle w:val="14"/>
        <w:shd w:val="clear" w:color="auto"/>
        <w:rPr>
          <w:rFonts w:ascii="宋体" w:hAnsi="宋体" w:eastAsia="宋体" w:cs="宋体"/>
          <w:bCs/>
          <w:color w:val="auto"/>
          <w:sz w:val="24"/>
          <w:szCs w:val="22"/>
          <w:highlight w:val="none"/>
        </w:rPr>
      </w:pPr>
    </w:p>
    <w:p w14:paraId="7BA47D8D">
      <w:pPr>
        <w:pStyle w:val="30"/>
        <w:shd w:val="clear" w:color="auto"/>
        <w:rPr>
          <w:rFonts w:ascii="宋体" w:hAnsi="宋体" w:cs="宋体"/>
          <w:bCs/>
          <w:color w:val="auto"/>
          <w:sz w:val="24"/>
          <w:szCs w:val="22"/>
          <w:highlight w:val="none"/>
        </w:rPr>
      </w:pPr>
    </w:p>
    <w:p w14:paraId="526BE269">
      <w:pPr>
        <w:shd w:val="clear" w:color="auto"/>
        <w:rPr>
          <w:rFonts w:ascii="宋体" w:hAnsi="宋体" w:cs="宋体"/>
          <w:bCs/>
          <w:color w:val="auto"/>
          <w:sz w:val="24"/>
          <w:szCs w:val="22"/>
          <w:highlight w:val="none"/>
        </w:rPr>
      </w:pPr>
    </w:p>
    <w:p w14:paraId="79F21CA9">
      <w:pPr>
        <w:pStyle w:val="14"/>
        <w:shd w:val="clear" w:color="auto"/>
        <w:rPr>
          <w:rFonts w:ascii="宋体" w:hAnsi="宋体" w:eastAsia="宋体" w:cs="宋体"/>
          <w:bCs/>
          <w:color w:val="auto"/>
          <w:sz w:val="24"/>
          <w:szCs w:val="22"/>
          <w:highlight w:val="none"/>
        </w:rPr>
      </w:pPr>
    </w:p>
    <w:p w14:paraId="31728AA9">
      <w:pPr>
        <w:pStyle w:val="30"/>
        <w:shd w:val="clear" w:color="auto"/>
        <w:rPr>
          <w:rFonts w:ascii="宋体" w:hAnsi="宋体" w:cs="宋体"/>
          <w:bCs/>
          <w:color w:val="auto"/>
          <w:sz w:val="24"/>
          <w:szCs w:val="22"/>
          <w:highlight w:val="none"/>
        </w:rPr>
      </w:pPr>
    </w:p>
    <w:p w14:paraId="73E35BA3">
      <w:pPr>
        <w:shd w:val="clear" w:color="auto"/>
        <w:rPr>
          <w:rFonts w:ascii="宋体" w:hAnsi="宋体" w:cs="宋体"/>
          <w:bCs/>
          <w:color w:val="auto"/>
          <w:sz w:val="24"/>
          <w:szCs w:val="22"/>
          <w:highlight w:val="none"/>
        </w:rPr>
      </w:pPr>
    </w:p>
    <w:p w14:paraId="3D6D0D07">
      <w:pPr>
        <w:pStyle w:val="14"/>
        <w:shd w:val="clear" w:color="auto"/>
        <w:rPr>
          <w:rFonts w:ascii="宋体" w:hAnsi="宋体" w:eastAsia="宋体" w:cs="宋体"/>
          <w:bCs/>
          <w:color w:val="auto"/>
          <w:sz w:val="24"/>
          <w:szCs w:val="22"/>
          <w:highlight w:val="none"/>
        </w:rPr>
      </w:pPr>
    </w:p>
    <w:bookmarkEnd w:id="4"/>
    <w:p w14:paraId="7C1A39BA">
      <w:pPr>
        <w:pStyle w:val="30"/>
        <w:shd w:val="clear" w:color="auto"/>
        <w:rPr>
          <w:rFonts w:ascii="宋体" w:hAnsi="宋体" w:cs="宋体"/>
          <w:bCs/>
          <w:color w:val="auto"/>
          <w:sz w:val="24"/>
          <w:szCs w:val="22"/>
          <w:highlight w:val="none"/>
        </w:rPr>
      </w:pPr>
    </w:p>
    <w:p w14:paraId="6F34F098">
      <w:pPr>
        <w:shd w:val="clear" w:color="auto"/>
        <w:rPr>
          <w:rFonts w:ascii="宋体" w:hAnsi="宋体" w:cs="宋体"/>
          <w:bCs/>
          <w:color w:val="auto"/>
          <w:sz w:val="24"/>
          <w:szCs w:val="22"/>
          <w:highlight w:val="none"/>
        </w:rPr>
      </w:pPr>
    </w:p>
    <w:p w14:paraId="3A10A3CA">
      <w:pPr>
        <w:shd w:val="clear" w:color="auto"/>
        <w:rPr>
          <w:rFonts w:ascii="宋体" w:hAnsi="宋体" w:cs="宋体"/>
          <w:bCs/>
          <w:color w:val="auto"/>
          <w:sz w:val="24"/>
          <w:szCs w:val="22"/>
          <w:highlight w:val="none"/>
        </w:rPr>
      </w:pPr>
      <w:r>
        <w:rPr>
          <w:rFonts w:hint="eastAsia" w:ascii="宋体" w:hAnsi="宋体" w:cs="宋体"/>
          <w:bCs/>
          <w:color w:val="auto"/>
          <w:sz w:val="24"/>
          <w:szCs w:val="22"/>
          <w:highlight w:val="none"/>
        </w:rPr>
        <w:t>（九）中小企业声明函（格式）</w:t>
      </w:r>
    </w:p>
    <w:p w14:paraId="1862F1E4">
      <w:pPr>
        <w:shd w:val="clear" w:color="auto"/>
        <w:spacing w:line="360" w:lineRule="auto"/>
        <w:jc w:val="center"/>
        <w:rPr>
          <w:rFonts w:ascii="宋体" w:hAnsi="宋体" w:cs="宋体"/>
          <w:bCs/>
          <w:color w:val="auto"/>
          <w:sz w:val="28"/>
          <w:szCs w:val="28"/>
          <w:highlight w:val="none"/>
        </w:rPr>
      </w:pPr>
      <w:bookmarkStart w:id="5" w:name="_Hlk62691799"/>
      <w:bookmarkStart w:id="6" w:name="_Hlk62691692"/>
    </w:p>
    <w:p w14:paraId="0C0DE692">
      <w:pPr>
        <w:shd w:val="clear" w:color="auto"/>
        <w:spacing w:line="360" w:lineRule="auto"/>
        <w:jc w:val="center"/>
        <w:rPr>
          <w:rFonts w:ascii="宋体" w:hAnsi="宋体" w:cs="宋体"/>
          <w:bCs/>
          <w:color w:val="auto"/>
          <w:sz w:val="28"/>
          <w:szCs w:val="28"/>
          <w:highlight w:val="none"/>
        </w:rPr>
      </w:pPr>
      <w:r>
        <w:rPr>
          <w:rFonts w:hint="eastAsia" w:ascii="宋体" w:hAnsi="宋体" w:cs="宋体"/>
          <w:bCs/>
          <w:color w:val="auto"/>
          <w:sz w:val="28"/>
          <w:szCs w:val="28"/>
          <w:highlight w:val="none"/>
        </w:rPr>
        <w:t>中小企业声明函（服务）</w:t>
      </w:r>
    </w:p>
    <w:p w14:paraId="41AA77ED">
      <w:pPr>
        <w:shd w:val="clear" w:color="auto"/>
        <w:spacing w:line="360" w:lineRule="auto"/>
        <w:ind w:firstLine="442"/>
        <w:rPr>
          <w:rFonts w:ascii="宋体" w:hAnsi="宋体" w:cs="宋体"/>
          <w:bCs/>
          <w:color w:val="auto"/>
          <w:sz w:val="24"/>
          <w:highlight w:val="none"/>
        </w:rPr>
      </w:pPr>
      <w:r>
        <w:rPr>
          <w:rFonts w:hint="eastAsia" w:ascii="宋体" w:hAnsi="宋体" w:cs="宋体"/>
          <w:bCs/>
          <w:color w:val="auto"/>
          <w:sz w:val="24"/>
          <w:highlight w:val="none"/>
        </w:rPr>
        <w:t>本公司（联合体）郑重声明，根据《政府采购促进中小企业发展管理办法》（财库﹝2020﹞46 号）的规定，本公司 （联合体）参加（单位名称）的（项目名称）采购活动，服务全部由符合政策要求的中小企业承接。相关企业（含联合体中的中小企业、签订分包意向协议的中小企业）的具体情况如下：</w:t>
      </w:r>
    </w:p>
    <w:p w14:paraId="63E7E06B">
      <w:pPr>
        <w:shd w:val="clear" w:color="auto"/>
        <w:spacing w:line="360" w:lineRule="auto"/>
        <w:ind w:firstLine="442"/>
        <w:rPr>
          <w:rFonts w:ascii="宋体" w:hAnsi="宋体" w:cs="宋体"/>
          <w:bCs/>
          <w:color w:val="auto"/>
          <w:sz w:val="24"/>
          <w:highlight w:val="none"/>
        </w:rPr>
      </w:pPr>
      <w:r>
        <w:rPr>
          <w:rFonts w:hint="eastAsia" w:ascii="宋体" w:hAnsi="宋体" w:cs="宋体"/>
          <w:bCs/>
          <w:color w:val="auto"/>
          <w:sz w:val="24"/>
          <w:highlight w:val="none"/>
        </w:rPr>
        <w:t>1. （标的名称） ，属于（采购文件中明确的所属行业）； 承建（承接）企业为（企业名称），从业人员   人，营业收入为    万元，资产总额为    万元，属于（中型企业、 小型企业、微型企业）；</w:t>
      </w:r>
    </w:p>
    <w:p w14:paraId="2946AD2E">
      <w:pPr>
        <w:shd w:val="clear" w:color="auto"/>
        <w:spacing w:line="360" w:lineRule="auto"/>
        <w:ind w:firstLine="442"/>
        <w:rPr>
          <w:rFonts w:ascii="宋体" w:hAnsi="宋体" w:cs="宋体"/>
          <w:bCs/>
          <w:color w:val="auto"/>
          <w:sz w:val="24"/>
          <w:highlight w:val="none"/>
        </w:rPr>
      </w:pPr>
      <w:r>
        <w:rPr>
          <w:rFonts w:hint="eastAsia" w:ascii="宋体" w:hAnsi="宋体" w:cs="宋体"/>
          <w:bCs/>
          <w:color w:val="auto"/>
          <w:sz w:val="24"/>
          <w:highlight w:val="none"/>
        </w:rPr>
        <w:t>2. （标的名称） ，属于（采购文件中明确的所属行业）； 承建（承接）企业为（企业名称），从业人员   人，营业收入为    万元，资产总额为    万元，属于（中型企业、 小型企业、微型企业）；</w:t>
      </w:r>
    </w:p>
    <w:p w14:paraId="3487FE1C">
      <w:pPr>
        <w:shd w:val="clear" w:color="auto"/>
        <w:spacing w:line="360" w:lineRule="auto"/>
        <w:ind w:firstLine="442"/>
        <w:rPr>
          <w:rFonts w:ascii="宋体" w:hAnsi="宋体" w:cs="宋体"/>
          <w:bCs/>
          <w:color w:val="auto"/>
          <w:sz w:val="24"/>
          <w:highlight w:val="none"/>
        </w:rPr>
      </w:pPr>
      <w:r>
        <w:rPr>
          <w:rFonts w:hint="eastAsia" w:ascii="宋体" w:hAnsi="宋体" w:cs="宋体"/>
          <w:bCs/>
          <w:color w:val="auto"/>
          <w:sz w:val="24"/>
          <w:highlight w:val="none"/>
        </w:rPr>
        <w:t>……</w:t>
      </w:r>
    </w:p>
    <w:p w14:paraId="6C306F11">
      <w:pPr>
        <w:shd w:val="clear" w:color="auto"/>
        <w:spacing w:line="360" w:lineRule="auto"/>
        <w:ind w:firstLine="442"/>
        <w:rPr>
          <w:rFonts w:ascii="宋体" w:hAnsi="宋体" w:cs="宋体"/>
          <w:bCs/>
          <w:color w:val="auto"/>
          <w:sz w:val="24"/>
          <w:highlight w:val="none"/>
        </w:rPr>
      </w:pPr>
      <w:r>
        <w:rPr>
          <w:rFonts w:hint="eastAsia" w:ascii="宋体" w:hAnsi="宋体" w:cs="宋体"/>
          <w:bCs/>
          <w:color w:val="auto"/>
          <w:sz w:val="24"/>
          <w:highlight w:val="none"/>
        </w:rPr>
        <w:t>以上企业，不属于大企业的分支机构，不存在控股股东为大企业的情形，也不存在与大企业的负责人为同一人的情形。本企业对上述声明内容的真实性负责。如有虚假，将依法承担相应责任。</w:t>
      </w:r>
    </w:p>
    <w:p w14:paraId="049C0E1D">
      <w:pPr>
        <w:shd w:val="clear" w:color="auto"/>
        <w:spacing w:line="360" w:lineRule="auto"/>
        <w:ind w:firstLine="442"/>
        <w:rPr>
          <w:rFonts w:ascii="宋体" w:hAnsi="宋体" w:cs="宋体"/>
          <w:bCs/>
          <w:color w:val="auto"/>
          <w:sz w:val="24"/>
          <w:highlight w:val="none"/>
        </w:rPr>
      </w:pPr>
    </w:p>
    <w:p w14:paraId="17FC9F06">
      <w:pPr>
        <w:shd w:val="clear" w:color="auto"/>
        <w:spacing w:line="360" w:lineRule="auto"/>
        <w:ind w:firstLine="4800"/>
        <w:rPr>
          <w:rFonts w:ascii="宋体" w:hAnsi="宋体" w:cs="宋体"/>
          <w:bCs/>
          <w:color w:val="auto"/>
          <w:sz w:val="24"/>
          <w:highlight w:val="none"/>
        </w:rPr>
      </w:pPr>
      <w:r>
        <w:rPr>
          <w:rFonts w:hint="eastAsia" w:ascii="宋体" w:hAnsi="宋体" w:cs="宋体"/>
          <w:bCs/>
          <w:color w:val="auto"/>
          <w:sz w:val="24"/>
          <w:highlight w:val="none"/>
        </w:rPr>
        <w:t>企业名称（盖章）：</w:t>
      </w:r>
    </w:p>
    <w:p w14:paraId="11D5F8DA">
      <w:pPr>
        <w:shd w:val="clear" w:color="auto"/>
        <w:spacing w:line="360" w:lineRule="auto"/>
        <w:ind w:firstLine="442"/>
        <w:rPr>
          <w:rFonts w:ascii="宋体" w:hAnsi="宋体" w:cs="宋体"/>
          <w:bCs/>
          <w:color w:val="auto"/>
          <w:sz w:val="24"/>
          <w:highlight w:val="none"/>
        </w:rPr>
      </w:pPr>
    </w:p>
    <w:p w14:paraId="01E224EA">
      <w:pPr>
        <w:shd w:val="clear" w:color="auto"/>
        <w:spacing w:line="360" w:lineRule="auto"/>
        <w:ind w:firstLine="4800"/>
        <w:rPr>
          <w:rFonts w:ascii="宋体" w:hAnsi="宋体" w:cs="宋体"/>
          <w:bCs/>
          <w:color w:val="auto"/>
          <w:sz w:val="24"/>
          <w:highlight w:val="none"/>
        </w:rPr>
      </w:pPr>
      <w:r>
        <w:rPr>
          <w:rFonts w:hint="eastAsia" w:ascii="宋体" w:hAnsi="宋体" w:cs="宋体"/>
          <w:bCs/>
          <w:color w:val="auto"/>
          <w:sz w:val="24"/>
          <w:highlight w:val="none"/>
        </w:rPr>
        <w:t>日　　　　　　期：</w:t>
      </w:r>
    </w:p>
    <w:p w14:paraId="37F98458">
      <w:pPr>
        <w:shd w:val="clear" w:color="auto"/>
        <w:spacing w:line="360" w:lineRule="auto"/>
        <w:ind w:firstLine="442"/>
        <w:rPr>
          <w:rFonts w:ascii="宋体" w:hAnsi="宋体" w:cs="宋体"/>
          <w:bCs/>
          <w:color w:val="auto"/>
          <w:sz w:val="24"/>
          <w:highlight w:val="none"/>
        </w:rPr>
      </w:pPr>
    </w:p>
    <w:p w14:paraId="349DD2DA">
      <w:pPr>
        <w:shd w:val="clear" w:color="auto"/>
        <w:spacing w:line="360" w:lineRule="auto"/>
        <w:ind w:firstLine="442"/>
        <w:rPr>
          <w:rFonts w:ascii="宋体" w:hAnsi="宋体" w:cs="宋体"/>
          <w:bCs/>
          <w:color w:val="auto"/>
          <w:sz w:val="24"/>
          <w:highlight w:val="none"/>
        </w:rPr>
      </w:pPr>
      <w:r>
        <w:rPr>
          <w:rFonts w:hint="eastAsia" w:ascii="宋体" w:hAnsi="宋体" w:cs="宋体"/>
          <w:bCs/>
          <w:color w:val="auto"/>
          <w:sz w:val="24"/>
          <w:highlight w:val="none"/>
        </w:rPr>
        <w:t>注：1.从业人员、营业收入、资产总额填报上一年度数据，无上一年度数据的新成立企业可不填报。</w:t>
      </w:r>
    </w:p>
    <w:p w14:paraId="3D319720">
      <w:pPr>
        <w:shd w:val="clear" w:color="auto"/>
        <w:spacing w:line="360" w:lineRule="auto"/>
        <w:ind w:firstLine="442"/>
        <w:rPr>
          <w:rFonts w:ascii="宋体" w:hAnsi="宋体" w:cs="宋体"/>
          <w:b/>
          <w:color w:val="auto"/>
          <w:sz w:val="24"/>
          <w:highlight w:val="none"/>
        </w:rPr>
      </w:pPr>
      <w:r>
        <w:rPr>
          <w:rFonts w:hint="eastAsia" w:ascii="宋体" w:hAnsi="宋体" w:cs="宋体"/>
          <w:bCs/>
          <w:color w:val="auto"/>
          <w:sz w:val="24"/>
          <w:highlight w:val="none"/>
        </w:rPr>
        <w:t>2.成交供应商的《中小企业声明函》将随成交公告进行公示。供应商按照本办法规定提供声明函内容不实的，属于提供虚假材料谋取中标、成交，依照《中华人民共和国政府采购法》等国家有关规定追究相应责任。</w:t>
      </w:r>
      <w:bookmarkEnd w:id="5"/>
      <w:bookmarkEnd w:id="6"/>
    </w:p>
    <w:p w14:paraId="3C91B1ED">
      <w:pPr>
        <w:shd w:val="clear" w:color="auto"/>
        <w:jc w:val="left"/>
        <w:outlineLvl w:val="0"/>
        <w:rPr>
          <w:rFonts w:ascii="宋体" w:hAnsi="宋体" w:cs="宋体"/>
          <w:bCs/>
          <w:color w:val="auto"/>
          <w:sz w:val="24"/>
          <w:szCs w:val="22"/>
          <w:highlight w:val="none"/>
        </w:rPr>
      </w:pPr>
    </w:p>
    <w:p w14:paraId="68D3DA7D">
      <w:pPr>
        <w:shd w:val="clear" w:color="auto"/>
        <w:jc w:val="left"/>
        <w:outlineLvl w:val="0"/>
        <w:rPr>
          <w:rFonts w:ascii="宋体" w:hAnsi="宋体" w:cs="宋体"/>
          <w:bCs/>
          <w:color w:val="auto"/>
          <w:sz w:val="24"/>
          <w:szCs w:val="22"/>
          <w:highlight w:val="none"/>
        </w:rPr>
      </w:pPr>
    </w:p>
    <w:p w14:paraId="6DEB3B50">
      <w:pPr>
        <w:shd w:val="clear" w:color="auto"/>
        <w:jc w:val="left"/>
        <w:outlineLvl w:val="0"/>
        <w:rPr>
          <w:rFonts w:ascii="宋体" w:hAnsi="宋体" w:cs="宋体"/>
          <w:bCs/>
          <w:color w:val="auto"/>
          <w:sz w:val="24"/>
          <w:szCs w:val="22"/>
          <w:highlight w:val="none"/>
        </w:rPr>
      </w:pPr>
    </w:p>
    <w:p w14:paraId="7EDCCFB2">
      <w:pPr>
        <w:shd w:val="clear" w:color="auto"/>
        <w:jc w:val="left"/>
        <w:outlineLvl w:val="0"/>
        <w:rPr>
          <w:rFonts w:ascii="宋体" w:hAnsi="宋体" w:cs="宋体"/>
          <w:bCs/>
          <w:color w:val="auto"/>
          <w:sz w:val="24"/>
          <w:szCs w:val="22"/>
          <w:highlight w:val="none"/>
        </w:rPr>
      </w:pPr>
    </w:p>
    <w:p w14:paraId="3BEDB9A6">
      <w:pPr>
        <w:shd w:val="clear" w:color="auto"/>
        <w:jc w:val="left"/>
        <w:outlineLvl w:val="0"/>
        <w:rPr>
          <w:rFonts w:ascii="宋体" w:hAnsi="宋体" w:cs="宋体"/>
          <w:bCs/>
          <w:color w:val="auto"/>
          <w:sz w:val="24"/>
          <w:szCs w:val="22"/>
          <w:highlight w:val="none"/>
        </w:rPr>
      </w:pPr>
      <w:r>
        <w:rPr>
          <w:rFonts w:hint="eastAsia" w:ascii="宋体" w:hAnsi="宋体" w:cs="宋体"/>
          <w:bCs/>
          <w:color w:val="auto"/>
          <w:sz w:val="24"/>
          <w:szCs w:val="22"/>
          <w:highlight w:val="none"/>
        </w:rPr>
        <w:t>（十）残疾人福利性单位声明函（格式）</w:t>
      </w:r>
    </w:p>
    <w:p w14:paraId="12D7C0FD">
      <w:pPr>
        <w:shd w:val="clear" w:color="auto"/>
        <w:rPr>
          <w:rFonts w:ascii="宋体" w:hAnsi="宋体" w:cs="宋体"/>
          <w:color w:val="auto"/>
          <w:highlight w:val="none"/>
        </w:rPr>
      </w:pPr>
    </w:p>
    <w:p w14:paraId="7EAA3C99">
      <w:pPr>
        <w:shd w:val="clear" w:color="auto"/>
        <w:spacing w:line="360" w:lineRule="auto"/>
        <w:jc w:val="center"/>
        <w:outlineLvl w:val="0"/>
        <w:rPr>
          <w:rFonts w:ascii="宋体" w:hAnsi="宋体" w:cs="宋体"/>
          <w:bCs/>
          <w:color w:val="auto"/>
          <w:sz w:val="28"/>
          <w:szCs w:val="28"/>
          <w:highlight w:val="none"/>
        </w:rPr>
      </w:pPr>
    </w:p>
    <w:p w14:paraId="17466AE6">
      <w:pPr>
        <w:shd w:val="clear" w:color="auto"/>
        <w:spacing w:line="360" w:lineRule="auto"/>
        <w:jc w:val="center"/>
        <w:outlineLvl w:val="0"/>
        <w:rPr>
          <w:rFonts w:ascii="宋体" w:hAnsi="宋体" w:cs="宋体"/>
          <w:bCs/>
          <w:color w:val="auto"/>
          <w:sz w:val="28"/>
          <w:szCs w:val="28"/>
          <w:highlight w:val="none"/>
        </w:rPr>
      </w:pPr>
      <w:r>
        <w:rPr>
          <w:rFonts w:hint="eastAsia" w:ascii="宋体" w:hAnsi="宋体" w:cs="宋体"/>
          <w:bCs/>
          <w:color w:val="auto"/>
          <w:sz w:val="28"/>
          <w:szCs w:val="28"/>
          <w:highlight w:val="none"/>
        </w:rPr>
        <w:t>残疾人福利性单位声明函</w:t>
      </w:r>
    </w:p>
    <w:p w14:paraId="74F701F7">
      <w:pPr>
        <w:shd w:val="clear" w:color="auto"/>
        <w:spacing w:line="360" w:lineRule="auto"/>
        <w:jc w:val="center"/>
        <w:outlineLvl w:val="0"/>
        <w:rPr>
          <w:rFonts w:ascii="宋体" w:hAnsi="宋体" w:cs="宋体"/>
          <w:bCs/>
          <w:color w:val="auto"/>
          <w:sz w:val="28"/>
          <w:szCs w:val="28"/>
          <w:highlight w:val="none"/>
        </w:rPr>
      </w:pPr>
    </w:p>
    <w:p w14:paraId="3B5E2D8A">
      <w:pPr>
        <w:shd w:val="clear" w:color="auto"/>
        <w:spacing w:line="440" w:lineRule="exact"/>
        <w:ind w:firstLine="480"/>
        <w:outlineLvl w:val="0"/>
        <w:rPr>
          <w:rFonts w:ascii="宋体" w:hAnsi="宋体" w:cs="宋体"/>
          <w:color w:val="auto"/>
          <w:sz w:val="24"/>
          <w:highlight w:val="none"/>
        </w:rPr>
      </w:pPr>
      <w:r>
        <w:rPr>
          <w:rFonts w:hint="eastAsia" w:ascii="宋体" w:hAnsi="宋体" w:cs="宋体"/>
          <w:color w:val="auto"/>
          <w:sz w:val="24"/>
          <w:highlight w:val="none"/>
        </w:rPr>
        <w:t>本公司郑重承诺，根据《财政部司法部中国残疾人联合会关于促进残疾人就业政府采购政策的通知》（财库（2017）141号）的规定，本单位为符合条件的残疾人福利性单位，且本单位参加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单位的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项目采购活动提供本企业制造的货物，由本公司承担工程、提供服务，或者提供其他残疾人福利性单位制造的货物（不包括使用非残疾人福利性单位注册商标的货物）。</w:t>
      </w:r>
    </w:p>
    <w:p w14:paraId="7ABE343A">
      <w:pPr>
        <w:shd w:val="clear" w:color="auto"/>
        <w:spacing w:line="440" w:lineRule="exact"/>
        <w:outlineLvl w:val="0"/>
        <w:rPr>
          <w:rFonts w:ascii="宋体" w:hAnsi="宋体" w:cs="宋体"/>
          <w:color w:val="auto"/>
          <w:sz w:val="24"/>
          <w:highlight w:val="none"/>
        </w:rPr>
      </w:pPr>
    </w:p>
    <w:p w14:paraId="1C916CDE">
      <w:pPr>
        <w:shd w:val="clear" w:color="auto"/>
        <w:spacing w:line="440" w:lineRule="exact"/>
        <w:ind w:firstLine="480"/>
        <w:outlineLvl w:val="0"/>
        <w:rPr>
          <w:rFonts w:ascii="宋体" w:hAnsi="宋体" w:cs="宋体"/>
          <w:color w:val="auto"/>
          <w:sz w:val="24"/>
          <w:highlight w:val="none"/>
        </w:rPr>
      </w:pPr>
      <w:r>
        <w:rPr>
          <w:rFonts w:hint="eastAsia" w:ascii="宋体" w:hAnsi="宋体" w:cs="宋体"/>
          <w:color w:val="auto"/>
          <w:sz w:val="24"/>
          <w:highlight w:val="none"/>
        </w:rPr>
        <w:t>本公司对上述声明的真实性负责。如有虚假，将依法承担相应责任。</w:t>
      </w:r>
    </w:p>
    <w:p w14:paraId="39E24F84">
      <w:pPr>
        <w:shd w:val="clear" w:color="auto"/>
        <w:spacing w:line="440" w:lineRule="exact"/>
        <w:outlineLvl w:val="0"/>
        <w:rPr>
          <w:rFonts w:ascii="宋体" w:hAnsi="宋体" w:cs="宋体"/>
          <w:color w:val="auto"/>
          <w:sz w:val="24"/>
          <w:highlight w:val="none"/>
        </w:rPr>
      </w:pPr>
    </w:p>
    <w:p w14:paraId="4ED82321">
      <w:pPr>
        <w:shd w:val="clear" w:color="auto"/>
        <w:spacing w:line="440" w:lineRule="exact"/>
        <w:outlineLvl w:val="0"/>
        <w:rPr>
          <w:rFonts w:ascii="宋体" w:hAnsi="宋体" w:cs="宋体"/>
          <w:color w:val="auto"/>
          <w:sz w:val="24"/>
          <w:highlight w:val="none"/>
        </w:rPr>
      </w:pPr>
      <w:r>
        <w:rPr>
          <w:rFonts w:hint="eastAsia" w:ascii="宋体" w:hAnsi="宋体" w:cs="宋体"/>
          <w:color w:val="auto"/>
          <w:sz w:val="24"/>
          <w:highlight w:val="none"/>
        </w:rPr>
        <w:tab/>
      </w:r>
    </w:p>
    <w:p w14:paraId="211AB2AB">
      <w:pPr>
        <w:shd w:val="clear" w:color="auto"/>
        <w:spacing w:line="440" w:lineRule="exact"/>
        <w:outlineLvl w:val="0"/>
        <w:rPr>
          <w:rFonts w:ascii="宋体" w:hAnsi="宋体" w:cs="宋体"/>
          <w:color w:val="auto"/>
          <w:sz w:val="24"/>
          <w:highlight w:val="none"/>
        </w:rPr>
      </w:pPr>
    </w:p>
    <w:p w14:paraId="275403E0">
      <w:pPr>
        <w:shd w:val="clear" w:color="auto"/>
        <w:spacing w:line="440" w:lineRule="exact"/>
        <w:jc w:val="right"/>
        <w:outlineLvl w:val="0"/>
        <w:rPr>
          <w:rFonts w:ascii="宋体" w:hAnsi="宋体" w:cs="宋体"/>
          <w:color w:val="auto"/>
          <w:sz w:val="24"/>
          <w:highlight w:val="none"/>
        </w:rPr>
      </w:pPr>
      <w:r>
        <w:rPr>
          <w:rFonts w:hint="eastAsia" w:ascii="宋体" w:hAnsi="宋体" w:cs="宋体"/>
          <w:color w:val="auto"/>
          <w:sz w:val="24"/>
          <w:highlight w:val="none"/>
        </w:rPr>
        <w:t>企业名称（盖章）：</w:t>
      </w:r>
    </w:p>
    <w:p w14:paraId="39B67329">
      <w:pPr>
        <w:shd w:val="clear" w:color="auto"/>
        <w:spacing w:line="440" w:lineRule="exact"/>
        <w:jc w:val="right"/>
        <w:outlineLvl w:val="0"/>
        <w:rPr>
          <w:rFonts w:ascii="宋体" w:hAnsi="宋体" w:cs="宋体"/>
          <w:color w:val="auto"/>
          <w:sz w:val="24"/>
          <w:highlight w:val="none"/>
        </w:rPr>
      </w:pPr>
    </w:p>
    <w:p w14:paraId="2BCD7658">
      <w:pPr>
        <w:shd w:val="clear" w:color="auto"/>
        <w:spacing w:line="440" w:lineRule="exact"/>
        <w:jc w:val="right"/>
        <w:outlineLvl w:val="0"/>
        <w:rPr>
          <w:rFonts w:ascii="宋体" w:hAnsi="宋体" w:cs="宋体"/>
          <w:color w:val="auto"/>
          <w:sz w:val="24"/>
          <w:highlight w:val="none"/>
        </w:rPr>
      </w:pPr>
      <w:r>
        <w:rPr>
          <w:rFonts w:hint="eastAsia" w:ascii="宋体" w:hAnsi="宋体" w:cs="宋体"/>
          <w:color w:val="auto"/>
          <w:sz w:val="24"/>
          <w:highlight w:val="none"/>
        </w:rPr>
        <w:t>日　　　　　　期：</w:t>
      </w:r>
    </w:p>
    <w:p w14:paraId="3EFD0B50">
      <w:pPr>
        <w:shd w:val="clear" w:color="auto"/>
        <w:rPr>
          <w:rFonts w:ascii="宋体" w:hAnsi="宋体" w:cs="宋体"/>
          <w:color w:val="auto"/>
          <w:sz w:val="24"/>
          <w:highlight w:val="none"/>
        </w:rPr>
      </w:pPr>
    </w:p>
    <w:p w14:paraId="7ECF8174">
      <w:pPr>
        <w:pStyle w:val="231"/>
        <w:shd w:val="clear" w:color="auto"/>
        <w:spacing w:line="360" w:lineRule="auto"/>
        <w:ind w:left="0" w:right="34" w:firstLine="403"/>
        <w:rPr>
          <w:rFonts w:ascii="宋体" w:hAnsi="宋体" w:cs="宋体"/>
          <w:color w:val="auto"/>
          <w:sz w:val="21"/>
          <w:highlight w:val="none"/>
        </w:rPr>
      </w:pPr>
    </w:p>
    <w:p w14:paraId="1D322850">
      <w:pPr>
        <w:pStyle w:val="231"/>
        <w:shd w:val="clear" w:color="auto"/>
        <w:spacing w:line="360" w:lineRule="auto"/>
        <w:ind w:left="0" w:right="34" w:firstLine="403"/>
        <w:rPr>
          <w:rFonts w:ascii="宋体" w:hAnsi="宋体" w:cs="宋体"/>
          <w:color w:val="auto"/>
          <w:sz w:val="21"/>
          <w:highlight w:val="none"/>
        </w:rPr>
      </w:pPr>
    </w:p>
    <w:p w14:paraId="6F181A92">
      <w:pPr>
        <w:shd w:val="clear" w:color="auto"/>
        <w:rPr>
          <w:rFonts w:ascii="宋体" w:hAnsi="宋体" w:cs="宋体"/>
          <w:b/>
          <w:color w:val="auto"/>
          <w:sz w:val="32"/>
          <w:szCs w:val="32"/>
          <w:highlight w:val="none"/>
        </w:rPr>
      </w:pPr>
    </w:p>
    <w:p w14:paraId="5BB85BFD">
      <w:pPr>
        <w:shd w:val="clear" w:color="auto"/>
        <w:jc w:val="center"/>
        <w:rPr>
          <w:rFonts w:ascii="宋体" w:hAnsi="宋体" w:cs="宋体"/>
          <w:b/>
          <w:bCs/>
          <w:color w:val="auto"/>
          <w:sz w:val="32"/>
          <w:szCs w:val="32"/>
          <w:highlight w:val="none"/>
        </w:rPr>
      </w:pPr>
    </w:p>
    <w:p w14:paraId="627C3548">
      <w:pPr>
        <w:shd w:val="clear" w:color="auto"/>
        <w:jc w:val="center"/>
        <w:rPr>
          <w:rFonts w:ascii="宋体" w:hAnsi="宋体" w:cs="宋体"/>
          <w:b/>
          <w:bCs/>
          <w:color w:val="auto"/>
          <w:sz w:val="32"/>
          <w:szCs w:val="32"/>
          <w:highlight w:val="none"/>
        </w:rPr>
      </w:pPr>
    </w:p>
    <w:p w14:paraId="75A3B975">
      <w:pPr>
        <w:shd w:val="clear" w:color="auto"/>
        <w:jc w:val="center"/>
        <w:rPr>
          <w:rFonts w:ascii="宋体" w:hAnsi="宋体" w:cs="宋体"/>
          <w:b/>
          <w:bCs/>
          <w:color w:val="auto"/>
          <w:sz w:val="32"/>
          <w:szCs w:val="32"/>
          <w:highlight w:val="none"/>
        </w:rPr>
      </w:pPr>
    </w:p>
    <w:p w14:paraId="2A47811A">
      <w:pPr>
        <w:shd w:val="clear" w:color="auto"/>
        <w:jc w:val="center"/>
        <w:rPr>
          <w:rFonts w:ascii="宋体" w:hAnsi="宋体" w:cs="宋体"/>
          <w:b/>
          <w:bCs/>
          <w:color w:val="auto"/>
          <w:sz w:val="32"/>
          <w:szCs w:val="32"/>
          <w:highlight w:val="none"/>
        </w:rPr>
      </w:pPr>
    </w:p>
    <w:p w14:paraId="21B59F78">
      <w:pPr>
        <w:shd w:val="clear" w:color="auto"/>
        <w:jc w:val="center"/>
        <w:rPr>
          <w:rFonts w:ascii="宋体" w:hAnsi="宋体" w:cs="宋体"/>
          <w:b/>
          <w:bCs/>
          <w:color w:val="auto"/>
          <w:sz w:val="32"/>
          <w:szCs w:val="32"/>
          <w:highlight w:val="none"/>
        </w:rPr>
      </w:pPr>
    </w:p>
    <w:p w14:paraId="49BB38EB">
      <w:pPr>
        <w:shd w:val="clear" w:color="auto"/>
        <w:jc w:val="center"/>
        <w:rPr>
          <w:rFonts w:ascii="宋体" w:hAnsi="宋体" w:cs="宋体"/>
          <w:b/>
          <w:bCs/>
          <w:color w:val="auto"/>
          <w:sz w:val="32"/>
          <w:szCs w:val="32"/>
          <w:highlight w:val="none"/>
        </w:rPr>
      </w:pPr>
    </w:p>
    <w:p w14:paraId="507DF15F">
      <w:pPr>
        <w:shd w:val="clear" w:color="auto"/>
        <w:jc w:val="center"/>
        <w:rPr>
          <w:rFonts w:ascii="宋体" w:hAnsi="宋体" w:cs="宋体"/>
          <w:b/>
          <w:bCs/>
          <w:color w:val="auto"/>
          <w:sz w:val="32"/>
          <w:szCs w:val="32"/>
          <w:highlight w:val="none"/>
        </w:rPr>
      </w:pPr>
    </w:p>
    <w:p w14:paraId="10AA7AFD">
      <w:pPr>
        <w:shd w:val="clear" w:color="auto"/>
        <w:jc w:val="center"/>
        <w:rPr>
          <w:rFonts w:ascii="宋体" w:hAnsi="宋体" w:cs="宋体"/>
          <w:b/>
          <w:bCs/>
          <w:color w:val="auto"/>
          <w:sz w:val="32"/>
          <w:szCs w:val="32"/>
          <w:highlight w:val="none"/>
        </w:rPr>
      </w:pPr>
    </w:p>
    <w:p w14:paraId="255BDC5C">
      <w:pPr>
        <w:shd w:val="clear" w:color="auto"/>
        <w:rPr>
          <w:rFonts w:ascii="宋体" w:hAnsi="宋体" w:cs="宋体"/>
          <w:bCs/>
          <w:color w:val="auto"/>
          <w:sz w:val="24"/>
          <w:szCs w:val="22"/>
          <w:highlight w:val="none"/>
        </w:rPr>
      </w:pPr>
    </w:p>
    <w:p w14:paraId="55005B2C">
      <w:pPr>
        <w:shd w:val="clear" w:color="auto"/>
        <w:rPr>
          <w:rFonts w:ascii="宋体" w:hAnsi="宋体" w:cs="宋体"/>
          <w:bCs/>
          <w:color w:val="auto"/>
          <w:sz w:val="24"/>
          <w:szCs w:val="22"/>
          <w:highlight w:val="none"/>
        </w:rPr>
      </w:pPr>
    </w:p>
    <w:p w14:paraId="5EF1BBB5">
      <w:pPr>
        <w:shd w:val="clear" w:color="auto"/>
        <w:rPr>
          <w:rFonts w:ascii="宋体" w:hAnsi="宋体" w:cs="宋体"/>
          <w:b/>
          <w:bCs/>
          <w:color w:val="auto"/>
          <w:sz w:val="24"/>
          <w:highlight w:val="none"/>
        </w:rPr>
      </w:pPr>
    </w:p>
    <w:p w14:paraId="5482A17C">
      <w:pPr>
        <w:shd w:val="clear" w:color="auto"/>
        <w:jc w:val="left"/>
        <w:outlineLvl w:val="0"/>
        <w:rPr>
          <w:rFonts w:ascii="宋体" w:hAnsi="宋体" w:cs="宋体"/>
          <w:bCs/>
          <w:color w:val="auto"/>
          <w:sz w:val="24"/>
          <w:szCs w:val="22"/>
          <w:highlight w:val="none"/>
        </w:rPr>
      </w:pPr>
      <w:r>
        <w:rPr>
          <w:rFonts w:hint="eastAsia" w:ascii="宋体" w:hAnsi="宋体" w:cs="宋体"/>
          <w:bCs/>
          <w:color w:val="auto"/>
          <w:sz w:val="24"/>
          <w:szCs w:val="22"/>
          <w:highlight w:val="none"/>
        </w:rPr>
        <w:t>（十一）投标偏离表（格式）</w:t>
      </w:r>
    </w:p>
    <w:p w14:paraId="57FEE508">
      <w:pPr>
        <w:shd w:val="clear" w:color="auto"/>
        <w:spacing w:line="360" w:lineRule="auto"/>
        <w:jc w:val="center"/>
        <w:rPr>
          <w:rFonts w:ascii="宋体" w:hAnsi="宋体" w:cs="宋体"/>
          <w:b/>
          <w:color w:val="auto"/>
          <w:sz w:val="28"/>
          <w:szCs w:val="28"/>
          <w:highlight w:val="none"/>
        </w:rPr>
      </w:pPr>
      <w:r>
        <w:rPr>
          <w:rFonts w:hint="eastAsia" w:ascii="宋体" w:hAnsi="宋体" w:cs="宋体"/>
          <w:b/>
          <w:color w:val="auto"/>
          <w:sz w:val="28"/>
          <w:szCs w:val="28"/>
          <w:highlight w:val="none"/>
        </w:rPr>
        <w:t>投标偏离表</w:t>
      </w:r>
    </w:p>
    <w:p w14:paraId="3C4996A2">
      <w:pPr>
        <w:shd w:val="clear" w:color="auto"/>
        <w:jc w:val="left"/>
        <w:rPr>
          <w:rFonts w:ascii="宋体" w:hAnsi="宋体" w:cs="宋体"/>
          <w:b/>
          <w:color w:val="auto"/>
          <w:sz w:val="24"/>
          <w:highlight w:val="none"/>
        </w:rPr>
      </w:pPr>
    </w:p>
    <w:p w14:paraId="79EF8FB7">
      <w:pPr>
        <w:shd w:val="clear" w:color="auto"/>
        <w:ind w:firstLine="240"/>
        <w:jc w:val="left"/>
        <w:rPr>
          <w:rFonts w:ascii="宋体" w:hAnsi="宋体" w:cs="宋体"/>
          <w:bCs/>
          <w:color w:val="auto"/>
          <w:sz w:val="24"/>
          <w:highlight w:val="none"/>
        </w:rPr>
      </w:pPr>
      <w:r>
        <w:rPr>
          <w:rFonts w:hint="eastAsia" w:ascii="宋体" w:hAnsi="宋体" w:cs="宋体"/>
          <w:bCs/>
          <w:color w:val="auto"/>
          <w:sz w:val="24"/>
          <w:highlight w:val="none"/>
        </w:rPr>
        <w:t>项目名称：</w:t>
      </w:r>
      <w:r>
        <w:rPr>
          <w:rFonts w:hint="eastAsia" w:ascii="宋体" w:hAnsi="宋体" w:cs="宋体"/>
          <w:bCs/>
          <w:color w:val="auto"/>
          <w:sz w:val="24"/>
          <w:highlight w:val="none"/>
          <w:lang w:eastAsia="zh-CN"/>
        </w:rPr>
        <w:t>文华路199号综合楼餐饮服务项目（第二次）</w:t>
      </w:r>
      <w:r>
        <w:rPr>
          <w:rFonts w:hint="eastAsia" w:ascii="宋体" w:hAnsi="宋体" w:cs="宋体"/>
          <w:bCs/>
          <w:color w:val="auto"/>
          <w:sz w:val="24"/>
          <w:highlight w:val="none"/>
        </w:rPr>
        <w:t xml:space="preserve">    </w:t>
      </w:r>
    </w:p>
    <w:p w14:paraId="55D80245">
      <w:pPr>
        <w:shd w:val="clear" w:color="auto"/>
        <w:ind w:firstLine="240"/>
        <w:jc w:val="left"/>
        <w:rPr>
          <w:rFonts w:ascii="宋体" w:hAnsi="宋体" w:cs="宋体"/>
          <w:color w:val="auto"/>
          <w:sz w:val="24"/>
          <w:highlight w:val="none"/>
        </w:rPr>
      </w:pPr>
      <w:r>
        <w:rPr>
          <w:rFonts w:hint="eastAsia" w:ascii="宋体" w:hAnsi="宋体" w:cs="宋体"/>
          <w:bCs/>
          <w:color w:val="auto"/>
          <w:sz w:val="24"/>
          <w:highlight w:val="none"/>
        </w:rPr>
        <w:t>项目编号：</w:t>
      </w:r>
    </w:p>
    <w:tbl>
      <w:tblPr>
        <w:tblStyle w:val="34"/>
        <w:tblW w:w="974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742"/>
        <w:gridCol w:w="1667"/>
        <w:gridCol w:w="1701"/>
        <w:gridCol w:w="1769"/>
        <w:gridCol w:w="2625"/>
        <w:gridCol w:w="1240"/>
      </w:tblGrid>
      <w:tr w14:paraId="628621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83" w:hRule="atLeast"/>
          <w:jc w:val="center"/>
        </w:trPr>
        <w:tc>
          <w:tcPr>
            <w:tcW w:w="742" w:type="dxa"/>
            <w:noWrap w:val="0"/>
            <w:vAlign w:val="center"/>
          </w:tcPr>
          <w:p w14:paraId="3C65DF5A">
            <w:pPr>
              <w:shd w:val="clear" w:color="auto"/>
              <w:jc w:val="center"/>
              <w:rPr>
                <w:rFonts w:ascii="宋体" w:hAnsi="宋体" w:cs="宋体"/>
                <w:color w:val="auto"/>
                <w:highlight w:val="none"/>
              </w:rPr>
            </w:pPr>
            <w:r>
              <w:rPr>
                <w:rFonts w:hint="eastAsia" w:ascii="宋体" w:hAnsi="宋体" w:cs="宋体"/>
                <w:color w:val="auto"/>
                <w:highlight w:val="none"/>
              </w:rPr>
              <w:t>序号</w:t>
            </w:r>
          </w:p>
        </w:tc>
        <w:tc>
          <w:tcPr>
            <w:tcW w:w="1667" w:type="dxa"/>
            <w:noWrap w:val="0"/>
            <w:vAlign w:val="center"/>
          </w:tcPr>
          <w:p w14:paraId="7D002ED0">
            <w:pPr>
              <w:shd w:val="clear" w:color="auto"/>
              <w:jc w:val="center"/>
              <w:rPr>
                <w:rFonts w:ascii="宋体" w:hAnsi="宋体" w:cs="宋体"/>
                <w:color w:val="auto"/>
                <w:highlight w:val="none"/>
              </w:rPr>
            </w:pPr>
            <w:r>
              <w:rPr>
                <w:rFonts w:hint="eastAsia" w:ascii="宋体" w:hAnsi="宋体" w:cs="宋体"/>
                <w:color w:val="auto"/>
                <w:highlight w:val="none"/>
              </w:rPr>
              <w:t>招标文件规定的商务条件</w:t>
            </w:r>
          </w:p>
        </w:tc>
        <w:tc>
          <w:tcPr>
            <w:tcW w:w="1701" w:type="dxa"/>
            <w:noWrap w:val="0"/>
            <w:vAlign w:val="center"/>
          </w:tcPr>
          <w:p w14:paraId="3AD2D6E8">
            <w:pPr>
              <w:shd w:val="clear" w:color="auto"/>
              <w:jc w:val="center"/>
              <w:rPr>
                <w:rFonts w:ascii="宋体" w:hAnsi="宋体" w:cs="宋体"/>
                <w:color w:val="auto"/>
                <w:highlight w:val="none"/>
              </w:rPr>
            </w:pPr>
            <w:r>
              <w:rPr>
                <w:rFonts w:hint="eastAsia" w:ascii="宋体" w:hAnsi="宋体" w:cs="宋体"/>
                <w:color w:val="auto"/>
                <w:highlight w:val="none"/>
              </w:rPr>
              <w:t>投标文件响应的具体内容</w:t>
            </w:r>
          </w:p>
        </w:tc>
        <w:tc>
          <w:tcPr>
            <w:tcW w:w="1769" w:type="dxa"/>
            <w:noWrap w:val="0"/>
            <w:vAlign w:val="center"/>
          </w:tcPr>
          <w:p w14:paraId="33430287">
            <w:pPr>
              <w:shd w:val="clear" w:color="auto"/>
              <w:jc w:val="center"/>
              <w:rPr>
                <w:rFonts w:ascii="宋体" w:hAnsi="宋体" w:cs="宋体"/>
                <w:color w:val="auto"/>
                <w:highlight w:val="none"/>
              </w:rPr>
            </w:pPr>
            <w:r>
              <w:rPr>
                <w:rFonts w:hint="eastAsia" w:ascii="宋体" w:hAnsi="宋体" w:cs="宋体"/>
                <w:color w:val="auto"/>
                <w:highlight w:val="none"/>
              </w:rPr>
              <w:t>是否偏离</w:t>
            </w:r>
          </w:p>
        </w:tc>
        <w:tc>
          <w:tcPr>
            <w:tcW w:w="2625" w:type="dxa"/>
            <w:noWrap w:val="0"/>
            <w:vAlign w:val="center"/>
          </w:tcPr>
          <w:p w14:paraId="1A46C935">
            <w:pPr>
              <w:shd w:val="clear" w:color="auto"/>
              <w:jc w:val="center"/>
              <w:rPr>
                <w:rFonts w:ascii="宋体" w:hAnsi="宋体" w:cs="宋体"/>
                <w:color w:val="auto"/>
                <w:highlight w:val="none"/>
              </w:rPr>
            </w:pPr>
            <w:r>
              <w:rPr>
                <w:rFonts w:hint="eastAsia" w:ascii="宋体" w:hAnsi="宋体" w:cs="宋体"/>
                <w:color w:val="auto"/>
                <w:highlight w:val="none"/>
              </w:rPr>
              <w:t>证明文件或响应内容所在位置</w:t>
            </w:r>
          </w:p>
        </w:tc>
        <w:tc>
          <w:tcPr>
            <w:tcW w:w="1240" w:type="dxa"/>
            <w:noWrap w:val="0"/>
            <w:vAlign w:val="center"/>
          </w:tcPr>
          <w:p w14:paraId="1BA6044B">
            <w:pPr>
              <w:shd w:val="clear" w:color="auto"/>
              <w:jc w:val="center"/>
              <w:rPr>
                <w:rFonts w:ascii="宋体" w:hAnsi="宋体" w:cs="宋体"/>
                <w:color w:val="auto"/>
                <w:highlight w:val="none"/>
              </w:rPr>
            </w:pPr>
            <w:r>
              <w:rPr>
                <w:rFonts w:hint="eastAsia" w:ascii="宋体" w:hAnsi="宋体" w:cs="宋体"/>
                <w:color w:val="auto"/>
                <w:highlight w:val="none"/>
              </w:rPr>
              <w:t>备注</w:t>
            </w:r>
          </w:p>
        </w:tc>
      </w:tr>
      <w:tr w14:paraId="235CE8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742" w:type="dxa"/>
            <w:noWrap w:val="0"/>
            <w:vAlign w:val="center"/>
          </w:tcPr>
          <w:p w14:paraId="5738EDD6">
            <w:pPr>
              <w:shd w:val="clear" w:color="auto"/>
              <w:jc w:val="center"/>
              <w:rPr>
                <w:rFonts w:ascii="宋体" w:hAnsi="宋体" w:cs="宋体"/>
                <w:color w:val="auto"/>
                <w:highlight w:val="none"/>
              </w:rPr>
            </w:pPr>
            <w:r>
              <w:rPr>
                <w:rFonts w:hint="eastAsia" w:ascii="宋体" w:hAnsi="宋体" w:cs="宋体"/>
                <w:color w:val="auto"/>
                <w:highlight w:val="none"/>
              </w:rPr>
              <w:t>1</w:t>
            </w:r>
          </w:p>
        </w:tc>
        <w:tc>
          <w:tcPr>
            <w:tcW w:w="1667" w:type="dxa"/>
            <w:noWrap w:val="0"/>
            <w:vAlign w:val="center"/>
          </w:tcPr>
          <w:p w14:paraId="0A90CA56">
            <w:pPr>
              <w:shd w:val="clear" w:color="auto"/>
              <w:jc w:val="center"/>
              <w:rPr>
                <w:rFonts w:ascii="宋体" w:hAnsi="宋体" w:cs="宋体"/>
                <w:color w:val="auto"/>
                <w:highlight w:val="none"/>
              </w:rPr>
            </w:pPr>
          </w:p>
        </w:tc>
        <w:tc>
          <w:tcPr>
            <w:tcW w:w="1701" w:type="dxa"/>
            <w:noWrap w:val="0"/>
            <w:vAlign w:val="center"/>
          </w:tcPr>
          <w:p w14:paraId="31E9D0D0">
            <w:pPr>
              <w:shd w:val="clear" w:color="auto"/>
              <w:jc w:val="center"/>
              <w:rPr>
                <w:rFonts w:ascii="宋体" w:hAnsi="宋体" w:cs="宋体"/>
                <w:color w:val="auto"/>
                <w:highlight w:val="none"/>
              </w:rPr>
            </w:pPr>
          </w:p>
        </w:tc>
        <w:tc>
          <w:tcPr>
            <w:tcW w:w="1769" w:type="dxa"/>
            <w:noWrap w:val="0"/>
            <w:vAlign w:val="center"/>
          </w:tcPr>
          <w:p w14:paraId="2E55EC44">
            <w:pPr>
              <w:shd w:val="clear" w:color="auto"/>
              <w:jc w:val="center"/>
              <w:rPr>
                <w:rFonts w:ascii="宋体" w:hAnsi="宋体" w:cs="宋体"/>
                <w:color w:val="auto"/>
                <w:highlight w:val="none"/>
              </w:rPr>
            </w:pPr>
          </w:p>
        </w:tc>
        <w:tc>
          <w:tcPr>
            <w:tcW w:w="2625" w:type="dxa"/>
            <w:noWrap w:val="0"/>
            <w:vAlign w:val="center"/>
          </w:tcPr>
          <w:p w14:paraId="6DD72A67">
            <w:pPr>
              <w:shd w:val="clear" w:color="auto"/>
              <w:jc w:val="center"/>
              <w:rPr>
                <w:rFonts w:ascii="宋体" w:hAnsi="宋体" w:cs="宋体"/>
                <w:color w:val="auto"/>
                <w:highlight w:val="none"/>
              </w:rPr>
            </w:pPr>
          </w:p>
        </w:tc>
        <w:tc>
          <w:tcPr>
            <w:tcW w:w="1240" w:type="dxa"/>
            <w:noWrap w:val="0"/>
            <w:vAlign w:val="center"/>
          </w:tcPr>
          <w:p w14:paraId="743ED8DE">
            <w:pPr>
              <w:shd w:val="clear" w:color="auto"/>
              <w:jc w:val="center"/>
              <w:rPr>
                <w:rFonts w:ascii="宋体" w:hAnsi="宋体" w:cs="宋体"/>
                <w:color w:val="auto"/>
                <w:highlight w:val="none"/>
              </w:rPr>
            </w:pPr>
          </w:p>
        </w:tc>
      </w:tr>
      <w:tr w14:paraId="6FFC56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742" w:type="dxa"/>
            <w:noWrap w:val="0"/>
            <w:vAlign w:val="center"/>
          </w:tcPr>
          <w:p w14:paraId="4285B591">
            <w:pPr>
              <w:shd w:val="clear" w:color="auto"/>
              <w:jc w:val="center"/>
              <w:rPr>
                <w:rFonts w:ascii="宋体" w:hAnsi="宋体" w:cs="宋体"/>
                <w:color w:val="auto"/>
                <w:highlight w:val="none"/>
              </w:rPr>
            </w:pPr>
            <w:r>
              <w:rPr>
                <w:rFonts w:hint="eastAsia" w:ascii="宋体" w:hAnsi="宋体" w:cs="宋体"/>
                <w:color w:val="auto"/>
                <w:highlight w:val="none"/>
              </w:rPr>
              <w:t>2</w:t>
            </w:r>
          </w:p>
        </w:tc>
        <w:tc>
          <w:tcPr>
            <w:tcW w:w="1667" w:type="dxa"/>
            <w:noWrap w:val="0"/>
            <w:vAlign w:val="center"/>
          </w:tcPr>
          <w:p w14:paraId="19DB9FD7">
            <w:pPr>
              <w:shd w:val="clear" w:color="auto"/>
              <w:jc w:val="center"/>
              <w:rPr>
                <w:rFonts w:ascii="宋体" w:hAnsi="宋体" w:cs="宋体"/>
                <w:color w:val="auto"/>
                <w:highlight w:val="none"/>
              </w:rPr>
            </w:pPr>
          </w:p>
        </w:tc>
        <w:tc>
          <w:tcPr>
            <w:tcW w:w="1701" w:type="dxa"/>
            <w:noWrap w:val="0"/>
            <w:vAlign w:val="center"/>
          </w:tcPr>
          <w:p w14:paraId="5E5BEFD4">
            <w:pPr>
              <w:shd w:val="clear" w:color="auto"/>
              <w:jc w:val="center"/>
              <w:rPr>
                <w:rFonts w:ascii="宋体" w:hAnsi="宋体" w:cs="宋体"/>
                <w:color w:val="auto"/>
                <w:highlight w:val="none"/>
              </w:rPr>
            </w:pPr>
          </w:p>
        </w:tc>
        <w:tc>
          <w:tcPr>
            <w:tcW w:w="1769" w:type="dxa"/>
            <w:noWrap w:val="0"/>
            <w:vAlign w:val="center"/>
          </w:tcPr>
          <w:p w14:paraId="2557CE28">
            <w:pPr>
              <w:shd w:val="clear" w:color="auto"/>
              <w:jc w:val="center"/>
              <w:rPr>
                <w:rFonts w:ascii="宋体" w:hAnsi="宋体" w:cs="宋体"/>
                <w:color w:val="auto"/>
                <w:highlight w:val="none"/>
              </w:rPr>
            </w:pPr>
          </w:p>
        </w:tc>
        <w:tc>
          <w:tcPr>
            <w:tcW w:w="2625" w:type="dxa"/>
            <w:noWrap w:val="0"/>
            <w:vAlign w:val="center"/>
          </w:tcPr>
          <w:p w14:paraId="1C156943">
            <w:pPr>
              <w:shd w:val="clear" w:color="auto"/>
              <w:jc w:val="center"/>
              <w:rPr>
                <w:rFonts w:ascii="宋体" w:hAnsi="宋体" w:cs="宋体"/>
                <w:color w:val="auto"/>
                <w:highlight w:val="none"/>
              </w:rPr>
            </w:pPr>
          </w:p>
        </w:tc>
        <w:tc>
          <w:tcPr>
            <w:tcW w:w="1240" w:type="dxa"/>
            <w:noWrap w:val="0"/>
            <w:vAlign w:val="center"/>
          </w:tcPr>
          <w:p w14:paraId="633F0826">
            <w:pPr>
              <w:shd w:val="clear" w:color="auto"/>
              <w:jc w:val="center"/>
              <w:rPr>
                <w:rFonts w:ascii="宋体" w:hAnsi="宋体" w:cs="宋体"/>
                <w:color w:val="auto"/>
                <w:highlight w:val="none"/>
              </w:rPr>
            </w:pPr>
          </w:p>
        </w:tc>
      </w:tr>
      <w:tr w14:paraId="3E90E3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742" w:type="dxa"/>
            <w:noWrap w:val="0"/>
            <w:vAlign w:val="center"/>
          </w:tcPr>
          <w:p w14:paraId="6DBD893E">
            <w:pPr>
              <w:shd w:val="clear" w:color="auto"/>
              <w:jc w:val="center"/>
              <w:rPr>
                <w:rFonts w:ascii="宋体" w:hAnsi="宋体" w:cs="宋体"/>
                <w:color w:val="auto"/>
                <w:highlight w:val="none"/>
              </w:rPr>
            </w:pPr>
            <w:r>
              <w:rPr>
                <w:rFonts w:hint="eastAsia" w:ascii="宋体" w:hAnsi="宋体" w:cs="宋体"/>
                <w:color w:val="auto"/>
                <w:highlight w:val="none"/>
              </w:rPr>
              <w:t>3</w:t>
            </w:r>
          </w:p>
        </w:tc>
        <w:tc>
          <w:tcPr>
            <w:tcW w:w="1667" w:type="dxa"/>
            <w:noWrap w:val="0"/>
            <w:vAlign w:val="center"/>
          </w:tcPr>
          <w:p w14:paraId="63FA3C98">
            <w:pPr>
              <w:shd w:val="clear" w:color="auto"/>
              <w:jc w:val="center"/>
              <w:rPr>
                <w:rFonts w:ascii="宋体" w:hAnsi="宋体" w:cs="宋体"/>
                <w:color w:val="auto"/>
                <w:highlight w:val="none"/>
              </w:rPr>
            </w:pPr>
          </w:p>
        </w:tc>
        <w:tc>
          <w:tcPr>
            <w:tcW w:w="1701" w:type="dxa"/>
            <w:noWrap w:val="0"/>
            <w:vAlign w:val="center"/>
          </w:tcPr>
          <w:p w14:paraId="0F983618">
            <w:pPr>
              <w:shd w:val="clear" w:color="auto"/>
              <w:jc w:val="center"/>
              <w:rPr>
                <w:rFonts w:ascii="宋体" w:hAnsi="宋体" w:cs="宋体"/>
                <w:color w:val="auto"/>
                <w:highlight w:val="none"/>
              </w:rPr>
            </w:pPr>
          </w:p>
        </w:tc>
        <w:tc>
          <w:tcPr>
            <w:tcW w:w="1769" w:type="dxa"/>
            <w:noWrap w:val="0"/>
            <w:vAlign w:val="center"/>
          </w:tcPr>
          <w:p w14:paraId="586E7206">
            <w:pPr>
              <w:shd w:val="clear" w:color="auto"/>
              <w:jc w:val="center"/>
              <w:rPr>
                <w:rFonts w:ascii="宋体" w:hAnsi="宋体" w:cs="宋体"/>
                <w:color w:val="auto"/>
                <w:highlight w:val="none"/>
              </w:rPr>
            </w:pPr>
          </w:p>
        </w:tc>
        <w:tc>
          <w:tcPr>
            <w:tcW w:w="2625" w:type="dxa"/>
            <w:noWrap w:val="0"/>
            <w:vAlign w:val="center"/>
          </w:tcPr>
          <w:p w14:paraId="0426B01C">
            <w:pPr>
              <w:shd w:val="clear" w:color="auto"/>
              <w:jc w:val="center"/>
              <w:rPr>
                <w:rFonts w:ascii="宋体" w:hAnsi="宋体" w:cs="宋体"/>
                <w:color w:val="auto"/>
                <w:highlight w:val="none"/>
              </w:rPr>
            </w:pPr>
          </w:p>
        </w:tc>
        <w:tc>
          <w:tcPr>
            <w:tcW w:w="1240" w:type="dxa"/>
            <w:noWrap w:val="0"/>
            <w:vAlign w:val="center"/>
          </w:tcPr>
          <w:p w14:paraId="0850E875">
            <w:pPr>
              <w:shd w:val="clear" w:color="auto"/>
              <w:jc w:val="center"/>
              <w:rPr>
                <w:rFonts w:ascii="宋体" w:hAnsi="宋体" w:cs="宋体"/>
                <w:color w:val="auto"/>
                <w:highlight w:val="none"/>
              </w:rPr>
            </w:pPr>
          </w:p>
        </w:tc>
      </w:tr>
      <w:tr w14:paraId="3FF570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742" w:type="dxa"/>
            <w:noWrap w:val="0"/>
            <w:vAlign w:val="center"/>
          </w:tcPr>
          <w:p w14:paraId="6F6B5D15">
            <w:pPr>
              <w:shd w:val="clear" w:color="auto"/>
              <w:jc w:val="center"/>
              <w:rPr>
                <w:rFonts w:ascii="宋体" w:hAnsi="宋体" w:cs="宋体"/>
                <w:color w:val="auto"/>
                <w:highlight w:val="none"/>
              </w:rPr>
            </w:pPr>
            <w:r>
              <w:rPr>
                <w:rFonts w:hint="eastAsia" w:ascii="宋体" w:hAnsi="宋体" w:cs="宋体"/>
                <w:color w:val="auto"/>
                <w:highlight w:val="none"/>
              </w:rPr>
              <w:t>4</w:t>
            </w:r>
          </w:p>
        </w:tc>
        <w:tc>
          <w:tcPr>
            <w:tcW w:w="1667" w:type="dxa"/>
            <w:noWrap w:val="0"/>
            <w:vAlign w:val="center"/>
          </w:tcPr>
          <w:p w14:paraId="48387276">
            <w:pPr>
              <w:shd w:val="clear" w:color="auto"/>
              <w:jc w:val="center"/>
              <w:rPr>
                <w:rFonts w:ascii="宋体" w:hAnsi="宋体" w:cs="宋体"/>
                <w:color w:val="auto"/>
                <w:highlight w:val="none"/>
              </w:rPr>
            </w:pPr>
          </w:p>
        </w:tc>
        <w:tc>
          <w:tcPr>
            <w:tcW w:w="1701" w:type="dxa"/>
            <w:noWrap w:val="0"/>
            <w:vAlign w:val="center"/>
          </w:tcPr>
          <w:p w14:paraId="371DB09E">
            <w:pPr>
              <w:shd w:val="clear" w:color="auto"/>
              <w:jc w:val="center"/>
              <w:rPr>
                <w:rFonts w:ascii="宋体" w:hAnsi="宋体" w:cs="宋体"/>
                <w:color w:val="auto"/>
                <w:highlight w:val="none"/>
              </w:rPr>
            </w:pPr>
          </w:p>
        </w:tc>
        <w:tc>
          <w:tcPr>
            <w:tcW w:w="1769" w:type="dxa"/>
            <w:noWrap w:val="0"/>
            <w:vAlign w:val="center"/>
          </w:tcPr>
          <w:p w14:paraId="5860C54D">
            <w:pPr>
              <w:shd w:val="clear" w:color="auto"/>
              <w:jc w:val="center"/>
              <w:rPr>
                <w:rFonts w:ascii="宋体" w:hAnsi="宋体" w:cs="宋体"/>
                <w:color w:val="auto"/>
                <w:highlight w:val="none"/>
              </w:rPr>
            </w:pPr>
          </w:p>
        </w:tc>
        <w:tc>
          <w:tcPr>
            <w:tcW w:w="2625" w:type="dxa"/>
            <w:noWrap w:val="0"/>
            <w:vAlign w:val="center"/>
          </w:tcPr>
          <w:p w14:paraId="66AD14D8">
            <w:pPr>
              <w:shd w:val="clear" w:color="auto"/>
              <w:jc w:val="center"/>
              <w:rPr>
                <w:rFonts w:ascii="宋体" w:hAnsi="宋体" w:cs="宋体"/>
                <w:color w:val="auto"/>
                <w:highlight w:val="none"/>
              </w:rPr>
            </w:pPr>
          </w:p>
        </w:tc>
        <w:tc>
          <w:tcPr>
            <w:tcW w:w="1240" w:type="dxa"/>
            <w:noWrap w:val="0"/>
            <w:vAlign w:val="center"/>
          </w:tcPr>
          <w:p w14:paraId="27C9AE3F">
            <w:pPr>
              <w:shd w:val="clear" w:color="auto"/>
              <w:jc w:val="center"/>
              <w:rPr>
                <w:rFonts w:ascii="宋体" w:hAnsi="宋体" w:cs="宋体"/>
                <w:color w:val="auto"/>
                <w:highlight w:val="none"/>
              </w:rPr>
            </w:pPr>
          </w:p>
        </w:tc>
      </w:tr>
      <w:tr w14:paraId="6D18EE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742" w:type="dxa"/>
            <w:noWrap w:val="0"/>
            <w:vAlign w:val="center"/>
          </w:tcPr>
          <w:p w14:paraId="2590A218">
            <w:pPr>
              <w:shd w:val="clear" w:color="auto"/>
              <w:jc w:val="center"/>
              <w:rPr>
                <w:rFonts w:ascii="宋体" w:hAnsi="宋体" w:cs="宋体"/>
                <w:color w:val="auto"/>
                <w:highlight w:val="none"/>
              </w:rPr>
            </w:pPr>
            <w:r>
              <w:rPr>
                <w:rFonts w:hint="eastAsia" w:ascii="宋体" w:hAnsi="宋体" w:cs="宋体"/>
                <w:color w:val="auto"/>
                <w:highlight w:val="none"/>
              </w:rPr>
              <w:t>5</w:t>
            </w:r>
          </w:p>
        </w:tc>
        <w:tc>
          <w:tcPr>
            <w:tcW w:w="1667" w:type="dxa"/>
            <w:noWrap w:val="0"/>
            <w:vAlign w:val="center"/>
          </w:tcPr>
          <w:p w14:paraId="6604522D">
            <w:pPr>
              <w:shd w:val="clear" w:color="auto"/>
              <w:jc w:val="center"/>
              <w:rPr>
                <w:rFonts w:ascii="宋体" w:hAnsi="宋体" w:cs="宋体"/>
                <w:color w:val="auto"/>
                <w:highlight w:val="none"/>
              </w:rPr>
            </w:pPr>
          </w:p>
        </w:tc>
        <w:tc>
          <w:tcPr>
            <w:tcW w:w="1701" w:type="dxa"/>
            <w:noWrap w:val="0"/>
            <w:vAlign w:val="center"/>
          </w:tcPr>
          <w:p w14:paraId="5739700C">
            <w:pPr>
              <w:shd w:val="clear" w:color="auto"/>
              <w:jc w:val="center"/>
              <w:rPr>
                <w:rFonts w:ascii="宋体" w:hAnsi="宋体" w:cs="宋体"/>
                <w:color w:val="auto"/>
                <w:highlight w:val="none"/>
              </w:rPr>
            </w:pPr>
          </w:p>
        </w:tc>
        <w:tc>
          <w:tcPr>
            <w:tcW w:w="1769" w:type="dxa"/>
            <w:noWrap w:val="0"/>
            <w:vAlign w:val="center"/>
          </w:tcPr>
          <w:p w14:paraId="19C7666B">
            <w:pPr>
              <w:shd w:val="clear" w:color="auto"/>
              <w:jc w:val="center"/>
              <w:rPr>
                <w:rFonts w:ascii="宋体" w:hAnsi="宋体" w:cs="宋体"/>
                <w:color w:val="auto"/>
                <w:highlight w:val="none"/>
              </w:rPr>
            </w:pPr>
          </w:p>
        </w:tc>
        <w:tc>
          <w:tcPr>
            <w:tcW w:w="2625" w:type="dxa"/>
            <w:noWrap w:val="0"/>
            <w:vAlign w:val="center"/>
          </w:tcPr>
          <w:p w14:paraId="5CAAF399">
            <w:pPr>
              <w:shd w:val="clear" w:color="auto"/>
              <w:jc w:val="center"/>
              <w:rPr>
                <w:rFonts w:ascii="宋体" w:hAnsi="宋体" w:cs="宋体"/>
                <w:color w:val="auto"/>
                <w:highlight w:val="none"/>
              </w:rPr>
            </w:pPr>
          </w:p>
        </w:tc>
        <w:tc>
          <w:tcPr>
            <w:tcW w:w="1240" w:type="dxa"/>
            <w:noWrap w:val="0"/>
            <w:vAlign w:val="center"/>
          </w:tcPr>
          <w:p w14:paraId="74BB82BA">
            <w:pPr>
              <w:shd w:val="clear" w:color="auto"/>
              <w:jc w:val="center"/>
              <w:rPr>
                <w:rFonts w:ascii="宋体" w:hAnsi="宋体" w:cs="宋体"/>
                <w:color w:val="auto"/>
                <w:highlight w:val="none"/>
              </w:rPr>
            </w:pPr>
          </w:p>
        </w:tc>
      </w:tr>
      <w:tr w14:paraId="4F7E6F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742" w:type="dxa"/>
            <w:noWrap w:val="0"/>
            <w:vAlign w:val="center"/>
          </w:tcPr>
          <w:p w14:paraId="2C3CBF1E">
            <w:pPr>
              <w:shd w:val="clear" w:color="auto"/>
              <w:jc w:val="center"/>
              <w:rPr>
                <w:rFonts w:ascii="宋体" w:hAnsi="宋体" w:cs="宋体"/>
                <w:color w:val="auto"/>
                <w:highlight w:val="none"/>
              </w:rPr>
            </w:pPr>
            <w:r>
              <w:rPr>
                <w:rFonts w:hint="eastAsia" w:ascii="宋体" w:hAnsi="宋体" w:cs="宋体"/>
                <w:color w:val="auto"/>
                <w:highlight w:val="none"/>
              </w:rPr>
              <w:t>6</w:t>
            </w:r>
          </w:p>
        </w:tc>
        <w:tc>
          <w:tcPr>
            <w:tcW w:w="1667" w:type="dxa"/>
            <w:noWrap w:val="0"/>
            <w:vAlign w:val="center"/>
          </w:tcPr>
          <w:p w14:paraId="59D22E3E">
            <w:pPr>
              <w:shd w:val="clear" w:color="auto"/>
              <w:jc w:val="center"/>
              <w:rPr>
                <w:rFonts w:ascii="宋体" w:hAnsi="宋体" w:cs="宋体"/>
                <w:color w:val="auto"/>
                <w:highlight w:val="none"/>
              </w:rPr>
            </w:pPr>
          </w:p>
        </w:tc>
        <w:tc>
          <w:tcPr>
            <w:tcW w:w="1701" w:type="dxa"/>
            <w:noWrap w:val="0"/>
            <w:vAlign w:val="center"/>
          </w:tcPr>
          <w:p w14:paraId="34111BD5">
            <w:pPr>
              <w:shd w:val="clear" w:color="auto"/>
              <w:jc w:val="center"/>
              <w:rPr>
                <w:rFonts w:ascii="宋体" w:hAnsi="宋体" w:cs="宋体"/>
                <w:color w:val="auto"/>
                <w:highlight w:val="none"/>
              </w:rPr>
            </w:pPr>
          </w:p>
        </w:tc>
        <w:tc>
          <w:tcPr>
            <w:tcW w:w="1769" w:type="dxa"/>
            <w:noWrap w:val="0"/>
            <w:vAlign w:val="center"/>
          </w:tcPr>
          <w:p w14:paraId="06008823">
            <w:pPr>
              <w:shd w:val="clear" w:color="auto"/>
              <w:jc w:val="center"/>
              <w:rPr>
                <w:rFonts w:ascii="宋体" w:hAnsi="宋体" w:cs="宋体"/>
                <w:color w:val="auto"/>
                <w:highlight w:val="none"/>
              </w:rPr>
            </w:pPr>
          </w:p>
        </w:tc>
        <w:tc>
          <w:tcPr>
            <w:tcW w:w="2625" w:type="dxa"/>
            <w:noWrap w:val="0"/>
            <w:vAlign w:val="center"/>
          </w:tcPr>
          <w:p w14:paraId="390F894B">
            <w:pPr>
              <w:shd w:val="clear" w:color="auto"/>
              <w:jc w:val="center"/>
              <w:rPr>
                <w:rFonts w:ascii="宋体" w:hAnsi="宋体" w:cs="宋体"/>
                <w:color w:val="auto"/>
                <w:highlight w:val="none"/>
              </w:rPr>
            </w:pPr>
          </w:p>
        </w:tc>
        <w:tc>
          <w:tcPr>
            <w:tcW w:w="1240" w:type="dxa"/>
            <w:noWrap w:val="0"/>
            <w:vAlign w:val="center"/>
          </w:tcPr>
          <w:p w14:paraId="3CB0BB98">
            <w:pPr>
              <w:shd w:val="clear" w:color="auto"/>
              <w:jc w:val="center"/>
              <w:rPr>
                <w:rFonts w:ascii="宋体" w:hAnsi="宋体" w:cs="宋体"/>
                <w:color w:val="auto"/>
                <w:highlight w:val="none"/>
              </w:rPr>
            </w:pPr>
          </w:p>
        </w:tc>
      </w:tr>
      <w:tr w14:paraId="39DD02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742" w:type="dxa"/>
            <w:noWrap w:val="0"/>
            <w:vAlign w:val="center"/>
          </w:tcPr>
          <w:p w14:paraId="5185DE1D">
            <w:pPr>
              <w:shd w:val="clear" w:color="auto"/>
              <w:jc w:val="center"/>
              <w:rPr>
                <w:rFonts w:ascii="宋体" w:hAnsi="宋体" w:cs="宋体"/>
                <w:color w:val="auto"/>
                <w:highlight w:val="none"/>
              </w:rPr>
            </w:pPr>
            <w:r>
              <w:rPr>
                <w:rFonts w:hint="eastAsia" w:ascii="宋体" w:hAnsi="宋体" w:cs="宋体"/>
                <w:color w:val="auto"/>
                <w:highlight w:val="none"/>
              </w:rPr>
              <w:t>7</w:t>
            </w:r>
          </w:p>
        </w:tc>
        <w:tc>
          <w:tcPr>
            <w:tcW w:w="1667" w:type="dxa"/>
            <w:noWrap w:val="0"/>
            <w:vAlign w:val="center"/>
          </w:tcPr>
          <w:p w14:paraId="26E4479A">
            <w:pPr>
              <w:shd w:val="clear" w:color="auto"/>
              <w:jc w:val="center"/>
              <w:rPr>
                <w:rFonts w:ascii="宋体" w:hAnsi="宋体" w:cs="宋体"/>
                <w:color w:val="auto"/>
                <w:highlight w:val="none"/>
              </w:rPr>
            </w:pPr>
          </w:p>
        </w:tc>
        <w:tc>
          <w:tcPr>
            <w:tcW w:w="1701" w:type="dxa"/>
            <w:noWrap w:val="0"/>
            <w:vAlign w:val="center"/>
          </w:tcPr>
          <w:p w14:paraId="13F1F358">
            <w:pPr>
              <w:shd w:val="clear" w:color="auto"/>
              <w:jc w:val="center"/>
              <w:rPr>
                <w:rFonts w:ascii="宋体" w:hAnsi="宋体" w:cs="宋体"/>
                <w:color w:val="auto"/>
                <w:highlight w:val="none"/>
              </w:rPr>
            </w:pPr>
          </w:p>
        </w:tc>
        <w:tc>
          <w:tcPr>
            <w:tcW w:w="1769" w:type="dxa"/>
            <w:noWrap w:val="0"/>
            <w:vAlign w:val="center"/>
          </w:tcPr>
          <w:p w14:paraId="51084FA6">
            <w:pPr>
              <w:shd w:val="clear" w:color="auto"/>
              <w:jc w:val="center"/>
              <w:rPr>
                <w:rFonts w:ascii="宋体" w:hAnsi="宋体" w:cs="宋体"/>
                <w:color w:val="auto"/>
                <w:highlight w:val="none"/>
              </w:rPr>
            </w:pPr>
          </w:p>
        </w:tc>
        <w:tc>
          <w:tcPr>
            <w:tcW w:w="2625" w:type="dxa"/>
            <w:noWrap w:val="0"/>
            <w:vAlign w:val="center"/>
          </w:tcPr>
          <w:p w14:paraId="649CC174">
            <w:pPr>
              <w:shd w:val="clear" w:color="auto"/>
              <w:jc w:val="center"/>
              <w:rPr>
                <w:rFonts w:ascii="宋体" w:hAnsi="宋体" w:cs="宋体"/>
                <w:color w:val="auto"/>
                <w:highlight w:val="none"/>
              </w:rPr>
            </w:pPr>
          </w:p>
        </w:tc>
        <w:tc>
          <w:tcPr>
            <w:tcW w:w="1240" w:type="dxa"/>
            <w:noWrap w:val="0"/>
            <w:vAlign w:val="center"/>
          </w:tcPr>
          <w:p w14:paraId="7D64D154">
            <w:pPr>
              <w:shd w:val="clear" w:color="auto"/>
              <w:jc w:val="center"/>
              <w:rPr>
                <w:rFonts w:ascii="宋体" w:hAnsi="宋体" w:cs="宋体"/>
                <w:color w:val="auto"/>
                <w:highlight w:val="none"/>
              </w:rPr>
            </w:pPr>
          </w:p>
        </w:tc>
      </w:tr>
      <w:tr w14:paraId="5E9CC6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742" w:type="dxa"/>
            <w:noWrap w:val="0"/>
            <w:vAlign w:val="center"/>
          </w:tcPr>
          <w:p w14:paraId="2C8DB8B5">
            <w:pPr>
              <w:shd w:val="clear" w:color="auto"/>
              <w:jc w:val="center"/>
              <w:rPr>
                <w:rFonts w:ascii="宋体" w:hAnsi="宋体" w:cs="宋体"/>
                <w:color w:val="auto"/>
                <w:highlight w:val="none"/>
              </w:rPr>
            </w:pPr>
            <w:r>
              <w:rPr>
                <w:rFonts w:hint="eastAsia" w:ascii="宋体" w:hAnsi="宋体" w:cs="宋体"/>
                <w:color w:val="auto"/>
                <w:highlight w:val="none"/>
              </w:rPr>
              <w:t>8</w:t>
            </w:r>
          </w:p>
        </w:tc>
        <w:tc>
          <w:tcPr>
            <w:tcW w:w="1667" w:type="dxa"/>
            <w:noWrap w:val="0"/>
            <w:vAlign w:val="center"/>
          </w:tcPr>
          <w:p w14:paraId="51FF8115">
            <w:pPr>
              <w:shd w:val="clear" w:color="auto"/>
              <w:jc w:val="center"/>
              <w:rPr>
                <w:rFonts w:ascii="宋体" w:hAnsi="宋体" w:cs="宋体"/>
                <w:color w:val="auto"/>
                <w:highlight w:val="none"/>
              </w:rPr>
            </w:pPr>
          </w:p>
        </w:tc>
        <w:tc>
          <w:tcPr>
            <w:tcW w:w="1701" w:type="dxa"/>
            <w:noWrap w:val="0"/>
            <w:vAlign w:val="center"/>
          </w:tcPr>
          <w:p w14:paraId="3DD4733D">
            <w:pPr>
              <w:shd w:val="clear" w:color="auto"/>
              <w:jc w:val="center"/>
              <w:rPr>
                <w:rFonts w:ascii="宋体" w:hAnsi="宋体" w:cs="宋体"/>
                <w:color w:val="auto"/>
                <w:highlight w:val="none"/>
              </w:rPr>
            </w:pPr>
          </w:p>
        </w:tc>
        <w:tc>
          <w:tcPr>
            <w:tcW w:w="1769" w:type="dxa"/>
            <w:noWrap w:val="0"/>
            <w:vAlign w:val="center"/>
          </w:tcPr>
          <w:p w14:paraId="2927D88F">
            <w:pPr>
              <w:shd w:val="clear" w:color="auto"/>
              <w:jc w:val="center"/>
              <w:rPr>
                <w:rFonts w:ascii="宋体" w:hAnsi="宋体" w:cs="宋体"/>
                <w:color w:val="auto"/>
                <w:highlight w:val="none"/>
              </w:rPr>
            </w:pPr>
          </w:p>
        </w:tc>
        <w:tc>
          <w:tcPr>
            <w:tcW w:w="2625" w:type="dxa"/>
            <w:noWrap w:val="0"/>
            <w:vAlign w:val="center"/>
          </w:tcPr>
          <w:p w14:paraId="4DF065A7">
            <w:pPr>
              <w:shd w:val="clear" w:color="auto"/>
              <w:jc w:val="center"/>
              <w:rPr>
                <w:rFonts w:ascii="宋体" w:hAnsi="宋体" w:cs="宋体"/>
                <w:color w:val="auto"/>
                <w:highlight w:val="none"/>
              </w:rPr>
            </w:pPr>
          </w:p>
        </w:tc>
        <w:tc>
          <w:tcPr>
            <w:tcW w:w="1240" w:type="dxa"/>
            <w:noWrap w:val="0"/>
            <w:vAlign w:val="center"/>
          </w:tcPr>
          <w:p w14:paraId="3EC48E26">
            <w:pPr>
              <w:shd w:val="clear" w:color="auto"/>
              <w:jc w:val="center"/>
              <w:rPr>
                <w:rFonts w:ascii="宋体" w:hAnsi="宋体" w:cs="宋体"/>
                <w:color w:val="auto"/>
                <w:highlight w:val="none"/>
              </w:rPr>
            </w:pPr>
          </w:p>
        </w:tc>
      </w:tr>
      <w:tr w14:paraId="4BC647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742" w:type="dxa"/>
            <w:noWrap w:val="0"/>
            <w:vAlign w:val="center"/>
          </w:tcPr>
          <w:p w14:paraId="3720D409">
            <w:pPr>
              <w:shd w:val="clear" w:color="auto"/>
              <w:jc w:val="center"/>
              <w:rPr>
                <w:rFonts w:ascii="宋体" w:hAnsi="宋体" w:cs="宋体"/>
                <w:color w:val="auto"/>
                <w:highlight w:val="none"/>
              </w:rPr>
            </w:pPr>
            <w:r>
              <w:rPr>
                <w:rFonts w:hint="eastAsia" w:ascii="宋体" w:hAnsi="宋体" w:cs="宋体"/>
                <w:color w:val="auto"/>
                <w:highlight w:val="none"/>
              </w:rPr>
              <w:t>9</w:t>
            </w:r>
          </w:p>
        </w:tc>
        <w:tc>
          <w:tcPr>
            <w:tcW w:w="1667" w:type="dxa"/>
            <w:noWrap w:val="0"/>
            <w:vAlign w:val="center"/>
          </w:tcPr>
          <w:p w14:paraId="6F69903B">
            <w:pPr>
              <w:shd w:val="clear" w:color="auto"/>
              <w:jc w:val="center"/>
              <w:rPr>
                <w:rFonts w:ascii="宋体" w:hAnsi="宋体" w:cs="宋体"/>
                <w:color w:val="auto"/>
                <w:highlight w:val="none"/>
              </w:rPr>
            </w:pPr>
          </w:p>
        </w:tc>
        <w:tc>
          <w:tcPr>
            <w:tcW w:w="1701" w:type="dxa"/>
            <w:noWrap w:val="0"/>
            <w:vAlign w:val="center"/>
          </w:tcPr>
          <w:p w14:paraId="22869235">
            <w:pPr>
              <w:shd w:val="clear" w:color="auto"/>
              <w:jc w:val="center"/>
              <w:rPr>
                <w:rFonts w:ascii="宋体" w:hAnsi="宋体" w:cs="宋体"/>
                <w:color w:val="auto"/>
                <w:highlight w:val="none"/>
              </w:rPr>
            </w:pPr>
          </w:p>
        </w:tc>
        <w:tc>
          <w:tcPr>
            <w:tcW w:w="1769" w:type="dxa"/>
            <w:noWrap w:val="0"/>
            <w:vAlign w:val="center"/>
          </w:tcPr>
          <w:p w14:paraId="028B6765">
            <w:pPr>
              <w:shd w:val="clear" w:color="auto"/>
              <w:jc w:val="center"/>
              <w:rPr>
                <w:rFonts w:ascii="宋体" w:hAnsi="宋体" w:cs="宋体"/>
                <w:color w:val="auto"/>
                <w:highlight w:val="none"/>
              </w:rPr>
            </w:pPr>
          </w:p>
        </w:tc>
        <w:tc>
          <w:tcPr>
            <w:tcW w:w="2625" w:type="dxa"/>
            <w:noWrap w:val="0"/>
            <w:vAlign w:val="center"/>
          </w:tcPr>
          <w:p w14:paraId="7EF857EC">
            <w:pPr>
              <w:shd w:val="clear" w:color="auto"/>
              <w:jc w:val="center"/>
              <w:rPr>
                <w:rFonts w:ascii="宋体" w:hAnsi="宋体" w:cs="宋体"/>
                <w:color w:val="auto"/>
                <w:highlight w:val="none"/>
              </w:rPr>
            </w:pPr>
          </w:p>
        </w:tc>
        <w:tc>
          <w:tcPr>
            <w:tcW w:w="1240" w:type="dxa"/>
            <w:noWrap w:val="0"/>
            <w:vAlign w:val="center"/>
          </w:tcPr>
          <w:p w14:paraId="2821337C">
            <w:pPr>
              <w:shd w:val="clear" w:color="auto"/>
              <w:jc w:val="center"/>
              <w:rPr>
                <w:rFonts w:ascii="宋体" w:hAnsi="宋体" w:cs="宋体"/>
                <w:color w:val="auto"/>
                <w:highlight w:val="none"/>
              </w:rPr>
            </w:pPr>
          </w:p>
        </w:tc>
      </w:tr>
      <w:tr w14:paraId="18CE26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742" w:type="dxa"/>
            <w:noWrap w:val="0"/>
            <w:vAlign w:val="center"/>
          </w:tcPr>
          <w:p w14:paraId="48775780">
            <w:pPr>
              <w:shd w:val="clear" w:color="auto"/>
              <w:jc w:val="center"/>
              <w:rPr>
                <w:rFonts w:ascii="宋体" w:hAnsi="宋体" w:cs="宋体"/>
                <w:color w:val="auto"/>
                <w:highlight w:val="none"/>
              </w:rPr>
            </w:pPr>
            <w:r>
              <w:rPr>
                <w:rFonts w:hint="eastAsia" w:ascii="宋体" w:hAnsi="宋体" w:cs="宋体"/>
                <w:color w:val="auto"/>
                <w:highlight w:val="none"/>
              </w:rPr>
              <w:t>……</w:t>
            </w:r>
          </w:p>
        </w:tc>
        <w:tc>
          <w:tcPr>
            <w:tcW w:w="1667" w:type="dxa"/>
            <w:noWrap w:val="0"/>
            <w:vAlign w:val="center"/>
          </w:tcPr>
          <w:p w14:paraId="5FF514D7">
            <w:pPr>
              <w:shd w:val="clear" w:color="auto"/>
              <w:jc w:val="center"/>
              <w:rPr>
                <w:rFonts w:ascii="宋体" w:hAnsi="宋体" w:cs="宋体"/>
                <w:color w:val="auto"/>
                <w:highlight w:val="none"/>
              </w:rPr>
            </w:pPr>
          </w:p>
        </w:tc>
        <w:tc>
          <w:tcPr>
            <w:tcW w:w="1701" w:type="dxa"/>
            <w:noWrap w:val="0"/>
            <w:vAlign w:val="center"/>
          </w:tcPr>
          <w:p w14:paraId="5FC022DA">
            <w:pPr>
              <w:shd w:val="clear" w:color="auto"/>
              <w:jc w:val="center"/>
              <w:rPr>
                <w:rFonts w:ascii="宋体" w:hAnsi="宋体" w:cs="宋体"/>
                <w:color w:val="auto"/>
                <w:highlight w:val="none"/>
              </w:rPr>
            </w:pPr>
          </w:p>
        </w:tc>
        <w:tc>
          <w:tcPr>
            <w:tcW w:w="1769" w:type="dxa"/>
            <w:noWrap w:val="0"/>
            <w:vAlign w:val="center"/>
          </w:tcPr>
          <w:p w14:paraId="28D07BD3">
            <w:pPr>
              <w:shd w:val="clear" w:color="auto"/>
              <w:jc w:val="center"/>
              <w:rPr>
                <w:rFonts w:ascii="宋体" w:hAnsi="宋体" w:cs="宋体"/>
                <w:color w:val="auto"/>
                <w:highlight w:val="none"/>
              </w:rPr>
            </w:pPr>
          </w:p>
        </w:tc>
        <w:tc>
          <w:tcPr>
            <w:tcW w:w="2625" w:type="dxa"/>
            <w:noWrap w:val="0"/>
            <w:vAlign w:val="center"/>
          </w:tcPr>
          <w:p w14:paraId="4A018E9F">
            <w:pPr>
              <w:shd w:val="clear" w:color="auto"/>
              <w:jc w:val="center"/>
              <w:rPr>
                <w:rFonts w:ascii="宋体" w:hAnsi="宋体" w:cs="宋体"/>
                <w:color w:val="auto"/>
                <w:highlight w:val="none"/>
              </w:rPr>
            </w:pPr>
          </w:p>
        </w:tc>
        <w:tc>
          <w:tcPr>
            <w:tcW w:w="1240" w:type="dxa"/>
            <w:noWrap w:val="0"/>
            <w:vAlign w:val="center"/>
          </w:tcPr>
          <w:p w14:paraId="12F83A5C">
            <w:pPr>
              <w:shd w:val="clear" w:color="auto"/>
              <w:jc w:val="center"/>
              <w:rPr>
                <w:rFonts w:ascii="宋体" w:hAnsi="宋体" w:cs="宋体"/>
                <w:color w:val="auto"/>
                <w:highlight w:val="none"/>
              </w:rPr>
            </w:pPr>
          </w:p>
        </w:tc>
      </w:tr>
    </w:tbl>
    <w:p w14:paraId="5D9883DD">
      <w:pPr>
        <w:shd w:val="clear" w:color="auto"/>
        <w:spacing w:line="276" w:lineRule="auto"/>
        <w:ind w:firstLine="480"/>
        <w:rPr>
          <w:rFonts w:ascii="宋体" w:hAnsi="宋体" w:cs="宋体"/>
          <w:color w:val="auto"/>
          <w:highlight w:val="none"/>
        </w:rPr>
      </w:pPr>
      <w:r>
        <w:rPr>
          <w:rFonts w:hint="eastAsia" w:ascii="宋体" w:hAnsi="宋体" w:cs="宋体"/>
          <w:color w:val="auto"/>
          <w:highlight w:val="none"/>
        </w:rPr>
        <w:t>说明：</w:t>
      </w:r>
    </w:p>
    <w:p w14:paraId="5F654977">
      <w:pPr>
        <w:shd w:val="clear" w:color="auto"/>
        <w:spacing w:line="276" w:lineRule="auto"/>
        <w:ind w:firstLine="480"/>
        <w:rPr>
          <w:rFonts w:ascii="宋体" w:hAnsi="宋体" w:cs="宋体"/>
          <w:color w:val="auto"/>
          <w:highlight w:val="none"/>
        </w:rPr>
      </w:pPr>
      <w:r>
        <w:rPr>
          <w:rFonts w:hint="eastAsia" w:ascii="宋体" w:hAnsi="宋体" w:cs="宋体"/>
          <w:color w:val="auto"/>
          <w:highlight w:val="none"/>
        </w:rPr>
        <w:t>1.“招标文件规定的商务条件”项下填写的内容应与招标文件中采购需求的内容保持一致。</w:t>
      </w:r>
    </w:p>
    <w:p w14:paraId="705C2DE5">
      <w:pPr>
        <w:shd w:val="clear" w:color="auto"/>
        <w:spacing w:line="276" w:lineRule="auto"/>
        <w:ind w:firstLine="480"/>
        <w:rPr>
          <w:rFonts w:ascii="宋体" w:hAnsi="宋体" w:cs="宋体"/>
          <w:color w:val="auto"/>
          <w:highlight w:val="none"/>
        </w:rPr>
      </w:pPr>
      <w:r>
        <w:rPr>
          <w:rFonts w:hint="eastAsia" w:ascii="宋体" w:hAnsi="宋体" w:cs="宋体"/>
          <w:color w:val="auto"/>
          <w:highlight w:val="none"/>
        </w:rPr>
        <w:t>2.“是否偏离”项下应按下列规定填写：优于的，填写“正偏离”；符合的，填写“无偏离”；低于的，填写“负偏离”。</w:t>
      </w:r>
    </w:p>
    <w:p w14:paraId="3E9B8EE0">
      <w:pPr>
        <w:shd w:val="clear" w:color="auto"/>
        <w:spacing w:line="276" w:lineRule="auto"/>
        <w:ind w:firstLine="480"/>
        <w:rPr>
          <w:rFonts w:ascii="宋体" w:hAnsi="宋体" w:cs="宋体"/>
          <w:color w:val="auto"/>
          <w:highlight w:val="none"/>
        </w:rPr>
      </w:pPr>
      <w:r>
        <w:rPr>
          <w:rFonts w:hint="eastAsia" w:ascii="宋体" w:hAnsi="宋体" w:cs="宋体"/>
          <w:color w:val="auto"/>
          <w:highlight w:val="none"/>
        </w:rPr>
        <w:t>3.“备注”处可填写偏离情况的说明。</w:t>
      </w:r>
    </w:p>
    <w:p w14:paraId="1DFBFD5F">
      <w:pPr>
        <w:shd w:val="clear" w:color="auto"/>
        <w:rPr>
          <w:rFonts w:ascii="宋体" w:hAnsi="宋体" w:cs="宋体"/>
          <w:color w:val="auto"/>
          <w:sz w:val="24"/>
          <w:highlight w:val="none"/>
        </w:rPr>
      </w:pPr>
    </w:p>
    <w:p w14:paraId="12D6AD50">
      <w:pPr>
        <w:shd w:val="clear" w:color="auto"/>
        <w:rPr>
          <w:rFonts w:ascii="宋体" w:hAnsi="宋体" w:cs="宋体"/>
          <w:color w:val="auto"/>
          <w:sz w:val="24"/>
          <w:highlight w:val="none"/>
        </w:rPr>
      </w:pPr>
    </w:p>
    <w:p w14:paraId="48549298">
      <w:pPr>
        <w:shd w:val="clear" w:color="auto"/>
        <w:spacing w:line="480" w:lineRule="auto"/>
        <w:ind w:firstLine="3720"/>
        <w:rPr>
          <w:rFonts w:ascii="宋体" w:hAnsi="宋体" w:cs="宋体"/>
          <w:bCs/>
          <w:color w:val="auto"/>
          <w:sz w:val="24"/>
          <w:highlight w:val="none"/>
        </w:rPr>
      </w:pPr>
      <w:r>
        <w:rPr>
          <w:rFonts w:hint="eastAsia" w:ascii="宋体" w:hAnsi="宋体" w:cs="宋体"/>
          <w:bCs/>
          <w:color w:val="auto"/>
          <w:sz w:val="24"/>
          <w:highlight w:val="none"/>
        </w:rPr>
        <w:t>投标供应商（盖章）：</w:t>
      </w:r>
    </w:p>
    <w:p w14:paraId="63006D3B">
      <w:pPr>
        <w:shd w:val="clear" w:color="auto"/>
        <w:spacing w:line="360" w:lineRule="auto"/>
        <w:ind w:firstLine="1020"/>
        <w:rPr>
          <w:rFonts w:ascii="宋体" w:hAnsi="宋体" w:cs="宋体"/>
          <w:color w:val="auto"/>
          <w:sz w:val="24"/>
          <w:highlight w:val="none"/>
        </w:rPr>
      </w:pPr>
      <w:r>
        <w:rPr>
          <w:rFonts w:hint="eastAsia" w:ascii="宋体" w:hAnsi="宋体" w:cs="宋体"/>
          <w:bCs/>
          <w:color w:val="auto"/>
          <w:sz w:val="24"/>
          <w:highlight w:val="none"/>
        </w:rPr>
        <w:t>法定代表人或法定代表人授权代表签字或盖章：</w:t>
      </w:r>
    </w:p>
    <w:p w14:paraId="45891A8C">
      <w:pPr>
        <w:shd w:val="clear" w:color="auto"/>
        <w:spacing w:line="360" w:lineRule="auto"/>
        <w:ind w:firstLine="5340"/>
        <w:rPr>
          <w:rFonts w:ascii="宋体" w:hAnsi="宋体" w:cs="宋体"/>
          <w:bCs/>
          <w:color w:val="auto"/>
          <w:sz w:val="24"/>
          <w:highlight w:val="none"/>
        </w:rPr>
      </w:pPr>
      <w:r>
        <w:rPr>
          <w:rFonts w:hint="eastAsia" w:ascii="宋体" w:hAnsi="宋体" w:cs="宋体"/>
          <w:bCs/>
          <w:color w:val="auto"/>
          <w:sz w:val="24"/>
          <w:highlight w:val="none"/>
        </w:rPr>
        <w:t>日期：    年  月   日</w:t>
      </w:r>
    </w:p>
    <w:p w14:paraId="307CE47A">
      <w:pPr>
        <w:shd w:val="clear" w:color="auto"/>
        <w:rPr>
          <w:rFonts w:ascii="宋体" w:hAnsi="宋体" w:cs="宋体"/>
          <w:bCs/>
          <w:color w:val="auto"/>
          <w:sz w:val="24"/>
          <w:szCs w:val="22"/>
          <w:highlight w:val="none"/>
        </w:rPr>
      </w:pPr>
    </w:p>
    <w:p w14:paraId="00014586">
      <w:pPr>
        <w:shd w:val="clear" w:color="auto"/>
        <w:rPr>
          <w:rFonts w:ascii="宋体" w:hAnsi="宋体" w:cs="宋体"/>
          <w:bCs/>
          <w:color w:val="auto"/>
          <w:sz w:val="24"/>
          <w:szCs w:val="22"/>
          <w:highlight w:val="none"/>
        </w:rPr>
      </w:pPr>
    </w:p>
    <w:p w14:paraId="2FD9EC79">
      <w:pPr>
        <w:shd w:val="clear" w:color="auto"/>
        <w:rPr>
          <w:rFonts w:ascii="宋体" w:hAnsi="宋体" w:cs="宋体"/>
          <w:bCs/>
          <w:color w:val="auto"/>
          <w:sz w:val="24"/>
          <w:szCs w:val="22"/>
          <w:highlight w:val="none"/>
        </w:rPr>
      </w:pPr>
    </w:p>
    <w:p w14:paraId="30176C19">
      <w:pPr>
        <w:shd w:val="clear" w:color="auto"/>
        <w:rPr>
          <w:rFonts w:ascii="宋体" w:hAnsi="宋体" w:cs="宋体"/>
          <w:bCs/>
          <w:color w:val="auto"/>
          <w:sz w:val="24"/>
          <w:szCs w:val="22"/>
          <w:highlight w:val="none"/>
        </w:rPr>
      </w:pPr>
    </w:p>
    <w:p w14:paraId="5801D5FB">
      <w:pPr>
        <w:shd w:val="clear" w:color="auto"/>
        <w:rPr>
          <w:rFonts w:ascii="宋体" w:hAnsi="宋体" w:cs="宋体"/>
          <w:bCs/>
          <w:color w:val="auto"/>
          <w:sz w:val="24"/>
          <w:szCs w:val="22"/>
          <w:highlight w:val="none"/>
        </w:rPr>
      </w:pPr>
    </w:p>
    <w:p w14:paraId="5771AEF1">
      <w:pPr>
        <w:shd w:val="clear" w:color="auto"/>
        <w:rPr>
          <w:rFonts w:ascii="宋体" w:hAnsi="宋体" w:cs="宋体"/>
          <w:bCs/>
          <w:color w:val="auto"/>
          <w:sz w:val="24"/>
          <w:szCs w:val="22"/>
          <w:highlight w:val="none"/>
        </w:rPr>
      </w:pPr>
      <w:r>
        <w:rPr>
          <w:rFonts w:hint="eastAsia" w:ascii="宋体" w:hAnsi="宋体" w:cs="宋体"/>
          <w:bCs/>
          <w:color w:val="auto"/>
          <w:sz w:val="24"/>
          <w:szCs w:val="22"/>
          <w:highlight w:val="none"/>
        </w:rPr>
        <w:br w:type="page" w:clear="all"/>
      </w:r>
    </w:p>
    <w:p w14:paraId="52C585F9">
      <w:pPr>
        <w:shd w:val="clear" w:color="auto"/>
        <w:rPr>
          <w:rFonts w:ascii="宋体" w:hAnsi="宋体" w:cs="宋体"/>
          <w:bCs/>
          <w:color w:val="auto"/>
          <w:sz w:val="24"/>
          <w:szCs w:val="22"/>
          <w:highlight w:val="none"/>
        </w:rPr>
      </w:pPr>
      <w:r>
        <w:rPr>
          <w:rFonts w:hint="eastAsia" w:ascii="宋体" w:hAnsi="宋体" w:cs="宋体"/>
          <w:bCs/>
          <w:color w:val="auto"/>
          <w:sz w:val="24"/>
          <w:szCs w:val="22"/>
          <w:highlight w:val="none"/>
        </w:rPr>
        <w:t>（十二）报价供应商简介和经营情况说明表（格式）</w:t>
      </w:r>
    </w:p>
    <w:p w14:paraId="56BEE719">
      <w:pPr>
        <w:shd w:val="clear" w:color="auto"/>
        <w:spacing w:line="360" w:lineRule="auto"/>
        <w:jc w:val="center"/>
        <w:rPr>
          <w:rFonts w:ascii="宋体" w:hAnsi="宋体" w:cs="宋体"/>
          <w:bCs/>
          <w:color w:val="auto"/>
          <w:sz w:val="28"/>
          <w:szCs w:val="28"/>
          <w:highlight w:val="none"/>
        </w:rPr>
      </w:pPr>
    </w:p>
    <w:p w14:paraId="5E55FB7A">
      <w:pPr>
        <w:shd w:val="clear" w:color="auto"/>
        <w:spacing w:line="360" w:lineRule="auto"/>
        <w:jc w:val="center"/>
        <w:rPr>
          <w:rFonts w:ascii="宋体" w:hAnsi="宋体" w:cs="宋体"/>
          <w:bCs/>
          <w:color w:val="auto"/>
          <w:sz w:val="28"/>
          <w:szCs w:val="28"/>
          <w:highlight w:val="none"/>
        </w:rPr>
      </w:pPr>
      <w:r>
        <w:rPr>
          <w:rFonts w:hint="eastAsia" w:ascii="宋体" w:hAnsi="宋体" w:cs="宋体"/>
          <w:bCs/>
          <w:color w:val="auto"/>
          <w:sz w:val="28"/>
          <w:szCs w:val="28"/>
          <w:highlight w:val="none"/>
        </w:rPr>
        <w:t>投标供应商简介和经营情况说明表</w:t>
      </w:r>
    </w:p>
    <w:p w14:paraId="2CEF7C4C">
      <w:pPr>
        <w:shd w:val="clear" w:color="auto"/>
        <w:spacing w:line="460" w:lineRule="exact"/>
        <w:jc w:val="center"/>
        <w:rPr>
          <w:rFonts w:ascii="宋体" w:hAnsi="宋体" w:cs="宋体"/>
          <w:color w:val="auto"/>
          <w:sz w:val="24"/>
          <w:highlight w:val="none"/>
        </w:rPr>
      </w:pPr>
      <w:r>
        <w:rPr>
          <w:rFonts w:hint="eastAsia" w:ascii="宋体" w:hAnsi="宋体" w:cs="宋体"/>
          <w:color w:val="auto"/>
          <w:sz w:val="24"/>
          <w:highlight w:val="none"/>
        </w:rPr>
        <w:t>（内容写不完的栏目可相应扩展）</w:t>
      </w:r>
    </w:p>
    <w:p w14:paraId="7428E43B">
      <w:pPr>
        <w:pStyle w:val="230"/>
        <w:shd w:val="clear" w:color="auto"/>
        <w:ind w:firstLine="0"/>
        <w:rPr>
          <w:rFonts w:ascii="宋体" w:hAnsi="宋体" w:cs="宋体"/>
          <w:b/>
          <w:bCs/>
          <w:color w:val="auto"/>
          <w:sz w:val="24"/>
          <w:highlight w:val="none"/>
        </w:rPr>
      </w:pPr>
      <w:r>
        <w:rPr>
          <w:rFonts w:hint="eastAsia" w:ascii="宋体" w:hAnsi="宋体" w:cs="宋体"/>
          <w:b/>
          <w:bCs/>
          <w:color w:val="auto"/>
          <w:sz w:val="24"/>
          <w:highlight w:val="none"/>
        </w:rPr>
        <w:t>投标供应商（盖章）</w:t>
      </w:r>
    </w:p>
    <w:tbl>
      <w:tblPr>
        <w:tblStyle w:val="34"/>
        <w:tblW w:w="9127"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
      <w:tblGrid>
        <w:gridCol w:w="2510"/>
        <w:gridCol w:w="2110"/>
        <w:gridCol w:w="149"/>
        <w:gridCol w:w="1757"/>
        <w:gridCol w:w="2601"/>
      </w:tblGrid>
      <w:tr w14:paraId="1C78D4F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510" w:type="dxa"/>
            <w:noWrap w:val="0"/>
          </w:tcPr>
          <w:p w14:paraId="014F884D">
            <w:pPr>
              <w:pStyle w:val="230"/>
              <w:shd w:val="clear" w:color="auto"/>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法定代表人</w:t>
            </w:r>
          </w:p>
        </w:tc>
        <w:tc>
          <w:tcPr>
            <w:tcW w:w="2259" w:type="dxa"/>
            <w:gridSpan w:val="2"/>
            <w:noWrap w:val="0"/>
          </w:tcPr>
          <w:p w14:paraId="3929B75C">
            <w:pPr>
              <w:pStyle w:val="230"/>
              <w:shd w:val="clear" w:color="auto"/>
              <w:spacing w:line="400" w:lineRule="exact"/>
              <w:ind w:firstLine="480"/>
              <w:rPr>
                <w:rFonts w:ascii="宋体" w:hAnsi="宋体" w:cs="宋体"/>
                <w:color w:val="auto"/>
                <w:sz w:val="24"/>
                <w:szCs w:val="24"/>
                <w:highlight w:val="none"/>
              </w:rPr>
            </w:pPr>
          </w:p>
        </w:tc>
        <w:tc>
          <w:tcPr>
            <w:tcW w:w="1757" w:type="dxa"/>
            <w:noWrap w:val="0"/>
          </w:tcPr>
          <w:p w14:paraId="6EA18EAB">
            <w:pPr>
              <w:pStyle w:val="230"/>
              <w:shd w:val="clear" w:color="auto"/>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成立日期</w:t>
            </w:r>
          </w:p>
        </w:tc>
        <w:tc>
          <w:tcPr>
            <w:tcW w:w="2601" w:type="dxa"/>
            <w:noWrap w:val="0"/>
          </w:tcPr>
          <w:p w14:paraId="0E17EFC8">
            <w:pPr>
              <w:pStyle w:val="230"/>
              <w:shd w:val="clear" w:color="auto"/>
              <w:spacing w:line="400" w:lineRule="exact"/>
              <w:ind w:firstLine="480"/>
              <w:rPr>
                <w:rFonts w:ascii="宋体" w:hAnsi="宋体" w:cs="宋体"/>
                <w:color w:val="auto"/>
                <w:sz w:val="24"/>
                <w:szCs w:val="24"/>
                <w:highlight w:val="none"/>
              </w:rPr>
            </w:pPr>
          </w:p>
        </w:tc>
      </w:tr>
      <w:tr w14:paraId="24777638">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510" w:type="dxa"/>
            <w:noWrap w:val="0"/>
          </w:tcPr>
          <w:p w14:paraId="510FE573">
            <w:pPr>
              <w:pStyle w:val="230"/>
              <w:shd w:val="clear" w:color="auto"/>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企业地址</w:t>
            </w:r>
          </w:p>
        </w:tc>
        <w:tc>
          <w:tcPr>
            <w:tcW w:w="2259" w:type="dxa"/>
            <w:gridSpan w:val="2"/>
            <w:noWrap w:val="0"/>
          </w:tcPr>
          <w:p w14:paraId="3F499D4F">
            <w:pPr>
              <w:pStyle w:val="230"/>
              <w:shd w:val="clear" w:color="auto"/>
              <w:spacing w:line="400" w:lineRule="exact"/>
              <w:ind w:firstLine="480"/>
              <w:rPr>
                <w:rFonts w:ascii="宋体" w:hAnsi="宋体" w:cs="宋体"/>
                <w:color w:val="auto"/>
                <w:sz w:val="24"/>
                <w:szCs w:val="24"/>
                <w:highlight w:val="none"/>
              </w:rPr>
            </w:pPr>
          </w:p>
        </w:tc>
        <w:tc>
          <w:tcPr>
            <w:tcW w:w="1757" w:type="dxa"/>
            <w:noWrap w:val="0"/>
          </w:tcPr>
          <w:p w14:paraId="4AD90386">
            <w:pPr>
              <w:pStyle w:val="230"/>
              <w:shd w:val="clear" w:color="auto"/>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注册资本</w:t>
            </w:r>
          </w:p>
        </w:tc>
        <w:tc>
          <w:tcPr>
            <w:tcW w:w="2601" w:type="dxa"/>
            <w:noWrap w:val="0"/>
          </w:tcPr>
          <w:p w14:paraId="638C46B9">
            <w:pPr>
              <w:pStyle w:val="230"/>
              <w:shd w:val="clear" w:color="auto"/>
              <w:spacing w:line="400" w:lineRule="exact"/>
              <w:ind w:firstLine="840"/>
              <w:rPr>
                <w:rFonts w:ascii="宋体" w:hAnsi="宋体" w:cs="宋体"/>
                <w:color w:val="auto"/>
                <w:sz w:val="24"/>
                <w:szCs w:val="24"/>
                <w:highlight w:val="none"/>
              </w:rPr>
            </w:pPr>
            <w:r>
              <w:rPr>
                <w:rFonts w:hint="eastAsia" w:ascii="宋体" w:hAnsi="宋体" w:cs="宋体"/>
                <w:color w:val="auto"/>
                <w:sz w:val="24"/>
                <w:szCs w:val="24"/>
                <w:highlight w:val="none"/>
              </w:rPr>
              <w:t>万元</w:t>
            </w:r>
          </w:p>
        </w:tc>
      </w:tr>
      <w:tr w14:paraId="037F0877">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510" w:type="dxa"/>
            <w:noWrap w:val="0"/>
          </w:tcPr>
          <w:p w14:paraId="6FA8A13A">
            <w:pPr>
              <w:pStyle w:val="230"/>
              <w:shd w:val="clear" w:color="auto"/>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经营范围</w:t>
            </w:r>
          </w:p>
        </w:tc>
        <w:tc>
          <w:tcPr>
            <w:tcW w:w="6617" w:type="dxa"/>
            <w:gridSpan w:val="4"/>
            <w:noWrap w:val="0"/>
          </w:tcPr>
          <w:p w14:paraId="646670C8">
            <w:pPr>
              <w:pStyle w:val="230"/>
              <w:shd w:val="clear" w:color="auto"/>
              <w:spacing w:line="400" w:lineRule="exact"/>
              <w:ind w:firstLine="480"/>
              <w:rPr>
                <w:rFonts w:ascii="宋体" w:hAnsi="宋体" w:cs="宋体"/>
                <w:color w:val="auto"/>
                <w:sz w:val="24"/>
                <w:szCs w:val="24"/>
                <w:highlight w:val="none"/>
              </w:rPr>
            </w:pPr>
          </w:p>
        </w:tc>
      </w:tr>
      <w:tr w14:paraId="042D7E49">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510" w:type="dxa"/>
            <w:noWrap w:val="0"/>
          </w:tcPr>
          <w:p w14:paraId="5E8499EF">
            <w:pPr>
              <w:pStyle w:val="230"/>
              <w:shd w:val="clear" w:color="auto"/>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职工人数</w:t>
            </w:r>
          </w:p>
        </w:tc>
        <w:tc>
          <w:tcPr>
            <w:tcW w:w="2110" w:type="dxa"/>
            <w:noWrap w:val="0"/>
          </w:tcPr>
          <w:p w14:paraId="710EED4F">
            <w:pPr>
              <w:pStyle w:val="230"/>
              <w:shd w:val="clear" w:color="auto"/>
              <w:spacing w:line="400" w:lineRule="exact"/>
              <w:ind w:firstLine="480"/>
              <w:rPr>
                <w:rFonts w:ascii="宋体" w:hAnsi="宋体" w:cs="宋体"/>
                <w:color w:val="auto"/>
                <w:sz w:val="24"/>
                <w:szCs w:val="24"/>
                <w:highlight w:val="none"/>
              </w:rPr>
            </w:pPr>
          </w:p>
        </w:tc>
        <w:tc>
          <w:tcPr>
            <w:tcW w:w="4507" w:type="dxa"/>
            <w:gridSpan w:val="3"/>
            <w:noWrap w:val="0"/>
          </w:tcPr>
          <w:p w14:paraId="6EB34CE2">
            <w:pPr>
              <w:pStyle w:val="230"/>
              <w:shd w:val="clear" w:color="auto"/>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其中：</w:t>
            </w:r>
          </w:p>
          <w:p w14:paraId="45B21610">
            <w:pPr>
              <w:pStyle w:val="230"/>
              <w:shd w:val="clear" w:color="auto"/>
              <w:spacing w:line="400" w:lineRule="exact"/>
              <w:ind w:left="1255" w:hanging="480"/>
              <w:rPr>
                <w:rFonts w:ascii="宋体" w:hAnsi="宋体" w:cs="宋体"/>
                <w:color w:val="auto"/>
                <w:sz w:val="24"/>
                <w:szCs w:val="24"/>
                <w:highlight w:val="none"/>
              </w:rPr>
            </w:pPr>
            <w:r>
              <w:rPr>
                <w:rFonts w:hint="eastAsia" w:ascii="宋体" w:hAnsi="宋体" w:cs="宋体"/>
                <w:color w:val="auto"/>
                <w:sz w:val="24"/>
                <w:szCs w:val="24"/>
                <w:highlight w:val="none"/>
              </w:rPr>
              <w:t>中级职称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人数、</w:t>
            </w:r>
          </w:p>
          <w:p w14:paraId="5137E890">
            <w:pPr>
              <w:pStyle w:val="230"/>
              <w:shd w:val="clear" w:color="auto"/>
              <w:spacing w:line="400" w:lineRule="exact"/>
              <w:ind w:left="1255" w:hanging="480"/>
              <w:rPr>
                <w:rFonts w:ascii="宋体" w:hAnsi="宋体" w:cs="宋体"/>
                <w:color w:val="auto"/>
                <w:sz w:val="24"/>
                <w:szCs w:val="24"/>
                <w:highlight w:val="none"/>
              </w:rPr>
            </w:pPr>
            <w:r>
              <w:rPr>
                <w:rFonts w:hint="eastAsia" w:ascii="宋体" w:hAnsi="宋体" w:cs="宋体"/>
                <w:color w:val="auto"/>
                <w:sz w:val="24"/>
                <w:szCs w:val="24"/>
                <w:highlight w:val="none"/>
              </w:rPr>
              <w:t>高级职称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人数</w:t>
            </w:r>
          </w:p>
        </w:tc>
      </w:tr>
      <w:tr w14:paraId="48DB525D">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566" w:hRule="atLeast"/>
        </w:trPr>
        <w:tc>
          <w:tcPr>
            <w:tcW w:w="2510" w:type="dxa"/>
            <w:noWrap w:val="0"/>
          </w:tcPr>
          <w:p w14:paraId="4F82D397">
            <w:pPr>
              <w:pStyle w:val="230"/>
              <w:shd w:val="clear" w:color="auto"/>
              <w:spacing w:line="400" w:lineRule="exact"/>
              <w:ind w:firstLine="0"/>
              <w:rPr>
                <w:rFonts w:ascii="宋体" w:hAnsi="宋体" w:cs="宋体"/>
                <w:color w:val="auto"/>
                <w:sz w:val="24"/>
                <w:szCs w:val="24"/>
                <w:highlight w:val="none"/>
              </w:rPr>
            </w:pPr>
            <w:r>
              <w:rPr>
                <w:rFonts w:hint="eastAsia" w:ascii="宋体" w:hAnsi="宋体" w:cs="宋体"/>
                <w:color w:val="auto"/>
                <w:sz w:val="24"/>
                <w:szCs w:val="24"/>
                <w:highlight w:val="none"/>
              </w:rPr>
              <w:t>2025年12月末资产总额</w:t>
            </w:r>
          </w:p>
        </w:tc>
        <w:tc>
          <w:tcPr>
            <w:tcW w:w="2110" w:type="dxa"/>
            <w:noWrap w:val="0"/>
          </w:tcPr>
          <w:p w14:paraId="1A39FE4B">
            <w:pPr>
              <w:pStyle w:val="230"/>
              <w:shd w:val="clear" w:color="auto"/>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       万元</w:t>
            </w:r>
          </w:p>
        </w:tc>
        <w:tc>
          <w:tcPr>
            <w:tcW w:w="1906" w:type="dxa"/>
            <w:gridSpan w:val="2"/>
            <w:noWrap w:val="0"/>
          </w:tcPr>
          <w:p w14:paraId="11E2F184">
            <w:pPr>
              <w:pStyle w:val="230"/>
              <w:shd w:val="clear" w:color="auto"/>
              <w:spacing w:line="400" w:lineRule="exact"/>
              <w:ind w:firstLine="0"/>
              <w:rPr>
                <w:rFonts w:ascii="宋体" w:hAnsi="宋体" w:cs="宋体"/>
                <w:color w:val="auto"/>
                <w:sz w:val="24"/>
                <w:szCs w:val="24"/>
                <w:highlight w:val="none"/>
              </w:rPr>
            </w:pPr>
            <w:r>
              <w:rPr>
                <w:rFonts w:hint="eastAsia" w:ascii="宋体" w:hAnsi="宋体" w:cs="宋体"/>
                <w:color w:val="auto"/>
                <w:sz w:val="24"/>
                <w:szCs w:val="24"/>
                <w:highlight w:val="none"/>
              </w:rPr>
              <w:t>净资产</w:t>
            </w:r>
          </w:p>
        </w:tc>
        <w:tc>
          <w:tcPr>
            <w:tcW w:w="2601" w:type="dxa"/>
            <w:noWrap w:val="0"/>
          </w:tcPr>
          <w:p w14:paraId="39017426">
            <w:pPr>
              <w:pStyle w:val="230"/>
              <w:shd w:val="clear" w:color="auto"/>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         万元</w:t>
            </w:r>
          </w:p>
        </w:tc>
      </w:tr>
      <w:tr w14:paraId="52906BB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510" w:type="dxa"/>
            <w:noWrap w:val="0"/>
          </w:tcPr>
          <w:p w14:paraId="7720535B">
            <w:pPr>
              <w:pStyle w:val="230"/>
              <w:shd w:val="clear" w:color="auto"/>
              <w:spacing w:line="400" w:lineRule="exact"/>
              <w:ind w:firstLine="0"/>
              <w:rPr>
                <w:rFonts w:ascii="宋体" w:hAnsi="宋体" w:cs="宋体"/>
                <w:color w:val="auto"/>
                <w:sz w:val="24"/>
                <w:szCs w:val="24"/>
                <w:highlight w:val="none"/>
              </w:rPr>
            </w:pPr>
            <w:r>
              <w:rPr>
                <w:rFonts w:hint="eastAsia" w:ascii="宋体" w:hAnsi="宋体" w:cs="宋体"/>
                <w:color w:val="auto"/>
                <w:sz w:val="24"/>
                <w:szCs w:val="24"/>
                <w:highlight w:val="none"/>
              </w:rPr>
              <w:t>2025年12月末股东权益</w:t>
            </w:r>
          </w:p>
        </w:tc>
        <w:tc>
          <w:tcPr>
            <w:tcW w:w="2110" w:type="dxa"/>
            <w:noWrap w:val="0"/>
          </w:tcPr>
          <w:p w14:paraId="58F4F72F">
            <w:pPr>
              <w:pStyle w:val="230"/>
              <w:shd w:val="clear" w:color="auto"/>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       万元</w:t>
            </w:r>
          </w:p>
        </w:tc>
        <w:tc>
          <w:tcPr>
            <w:tcW w:w="1906" w:type="dxa"/>
            <w:gridSpan w:val="2"/>
            <w:noWrap w:val="0"/>
          </w:tcPr>
          <w:p w14:paraId="4BFFCB3C">
            <w:pPr>
              <w:pStyle w:val="230"/>
              <w:shd w:val="clear" w:color="auto"/>
              <w:spacing w:line="400" w:lineRule="exact"/>
              <w:ind w:firstLine="0"/>
              <w:rPr>
                <w:rFonts w:ascii="宋体" w:hAnsi="宋体" w:cs="宋体"/>
                <w:color w:val="auto"/>
                <w:sz w:val="24"/>
                <w:szCs w:val="24"/>
                <w:highlight w:val="none"/>
              </w:rPr>
            </w:pPr>
            <w:r>
              <w:rPr>
                <w:rFonts w:hint="eastAsia" w:ascii="宋体" w:hAnsi="宋体" w:cs="宋体"/>
                <w:color w:val="auto"/>
                <w:sz w:val="24"/>
                <w:szCs w:val="24"/>
                <w:highlight w:val="none"/>
              </w:rPr>
              <w:t>2025年业务收入</w:t>
            </w:r>
          </w:p>
        </w:tc>
        <w:tc>
          <w:tcPr>
            <w:tcW w:w="2601" w:type="dxa"/>
            <w:noWrap w:val="0"/>
          </w:tcPr>
          <w:p w14:paraId="535BFE95">
            <w:pPr>
              <w:pStyle w:val="230"/>
              <w:shd w:val="clear" w:color="auto"/>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         万元</w:t>
            </w:r>
          </w:p>
        </w:tc>
      </w:tr>
      <w:tr w14:paraId="72684759">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510" w:type="dxa"/>
            <w:noWrap w:val="0"/>
          </w:tcPr>
          <w:p w14:paraId="7D7926BF">
            <w:pPr>
              <w:pStyle w:val="230"/>
              <w:shd w:val="clear" w:color="auto"/>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2025年实现利润</w:t>
            </w:r>
          </w:p>
        </w:tc>
        <w:tc>
          <w:tcPr>
            <w:tcW w:w="2110" w:type="dxa"/>
            <w:noWrap w:val="0"/>
          </w:tcPr>
          <w:p w14:paraId="60C61CBA">
            <w:pPr>
              <w:pStyle w:val="230"/>
              <w:shd w:val="clear" w:color="auto"/>
              <w:spacing w:line="400" w:lineRule="exact"/>
              <w:ind w:firstLine="1320"/>
              <w:rPr>
                <w:rFonts w:ascii="宋体" w:hAnsi="宋体" w:cs="宋体"/>
                <w:color w:val="auto"/>
                <w:sz w:val="24"/>
                <w:szCs w:val="24"/>
                <w:highlight w:val="none"/>
              </w:rPr>
            </w:pPr>
            <w:r>
              <w:rPr>
                <w:rFonts w:hint="eastAsia" w:ascii="宋体" w:hAnsi="宋体" w:cs="宋体"/>
                <w:color w:val="auto"/>
                <w:sz w:val="24"/>
                <w:szCs w:val="24"/>
                <w:highlight w:val="none"/>
              </w:rPr>
              <w:t>万元</w:t>
            </w:r>
          </w:p>
        </w:tc>
        <w:tc>
          <w:tcPr>
            <w:tcW w:w="1906" w:type="dxa"/>
            <w:gridSpan w:val="2"/>
            <w:noWrap w:val="0"/>
          </w:tcPr>
          <w:p w14:paraId="089CA886">
            <w:pPr>
              <w:pStyle w:val="230"/>
              <w:shd w:val="clear" w:color="auto"/>
              <w:spacing w:line="400" w:lineRule="exact"/>
              <w:ind w:firstLine="480"/>
              <w:rPr>
                <w:rFonts w:ascii="宋体" w:hAnsi="宋体" w:cs="宋体"/>
                <w:color w:val="auto"/>
                <w:sz w:val="24"/>
                <w:szCs w:val="24"/>
                <w:highlight w:val="none"/>
              </w:rPr>
            </w:pPr>
          </w:p>
        </w:tc>
        <w:tc>
          <w:tcPr>
            <w:tcW w:w="2601" w:type="dxa"/>
            <w:noWrap w:val="0"/>
          </w:tcPr>
          <w:p w14:paraId="574443D0">
            <w:pPr>
              <w:pStyle w:val="230"/>
              <w:shd w:val="clear" w:color="auto"/>
              <w:spacing w:line="400" w:lineRule="exact"/>
              <w:ind w:firstLine="480"/>
              <w:rPr>
                <w:rFonts w:ascii="宋体" w:hAnsi="宋体" w:cs="宋体"/>
                <w:color w:val="auto"/>
                <w:sz w:val="24"/>
                <w:szCs w:val="24"/>
                <w:highlight w:val="none"/>
              </w:rPr>
            </w:pPr>
          </w:p>
        </w:tc>
      </w:tr>
      <w:tr w14:paraId="13ECAB72">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2510" w:type="dxa"/>
            <w:noWrap w:val="0"/>
          </w:tcPr>
          <w:p w14:paraId="370B5074">
            <w:pPr>
              <w:pStyle w:val="230"/>
              <w:shd w:val="clear" w:color="auto"/>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办公面积</w:t>
            </w:r>
          </w:p>
          <w:p w14:paraId="06863E12">
            <w:pPr>
              <w:pStyle w:val="230"/>
              <w:shd w:val="clear" w:color="auto"/>
              <w:spacing w:line="400" w:lineRule="exact"/>
              <w:ind w:firstLine="480"/>
              <w:rPr>
                <w:rFonts w:ascii="宋体" w:hAnsi="宋体" w:cs="宋体"/>
                <w:color w:val="auto"/>
                <w:sz w:val="24"/>
                <w:szCs w:val="24"/>
                <w:highlight w:val="none"/>
              </w:rPr>
            </w:pPr>
          </w:p>
        </w:tc>
        <w:tc>
          <w:tcPr>
            <w:tcW w:w="2110" w:type="dxa"/>
            <w:noWrap w:val="0"/>
          </w:tcPr>
          <w:p w14:paraId="523DCCE9">
            <w:pPr>
              <w:pStyle w:val="230"/>
              <w:shd w:val="clear" w:color="auto"/>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     平方米</w:t>
            </w:r>
          </w:p>
        </w:tc>
        <w:tc>
          <w:tcPr>
            <w:tcW w:w="1906" w:type="dxa"/>
            <w:gridSpan w:val="2"/>
            <w:noWrap w:val="0"/>
          </w:tcPr>
          <w:p w14:paraId="38324BA9">
            <w:pPr>
              <w:pStyle w:val="230"/>
              <w:shd w:val="clear" w:color="auto"/>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其中：</w:t>
            </w:r>
          </w:p>
        </w:tc>
        <w:tc>
          <w:tcPr>
            <w:tcW w:w="2601" w:type="dxa"/>
            <w:noWrap w:val="0"/>
          </w:tcPr>
          <w:p w14:paraId="7F629852">
            <w:pPr>
              <w:pStyle w:val="230"/>
              <w:shd w:val="clear" w:color="auto"/>
              <w:spacing w:line="400" w:lineRule="exact"/>
              <w:ind w:firstLine="0"/>
              <w:rPr>
                <w:rFonts w:ascii="宋体" w:hAnsi="宋体" w:cs="宋体"/>
                <w:color w:val="auto"/>
                <w:sz w:val="24"/>
                <w:szCs w:val="24"/>
                <w:highlight w:val="none"/>
              </w:rPr>
            </w:pPr>
            <w:r>
              <w:rPr>
                <w:rFonts w:hint="eastAsia" w:ascii="宋体" w:hAnsi="宋体" w:cs="宋体"/>
                <w:color w:val="auto"/>
                <w:sz w:val="24"/>
                <w:szCs w:val="24"/>
                <w:highlight w:val="none"/>
              </w:rPr>
              <w:t>自有面积    平方米</w:t>
            </w:r>
          </w:p>
          <w:p w14:paraId="53C48B65">
            <w:pPr>
              <w:pStyle w:val="230"/>
              <w:shd w:val="clear" w:color="auto"/>
              <w:spacing w:line="400" w:lineRule="exact"/>
              <w:ind w:firstLine="0"/>
              <w:rPr>
                <w:rFonts w:ascii="宋体" w:hAnsi="宋体" w:cs="宋体"/>
                <w:color w:val="auto"/>
                <w:sz w:val="24"/>
                <w:szCs w:val="24"/>
                <w:highlight w:val="none"/>
              </w:rPr>
            </w:pPr>
            <w:r>
              <w:rPr>
                <w:rFonts w:hint="eastAsia" w:ascii="宋体" w:hAnsi="宋体" w:cs="宋体"/>
                <w:color w:val="auto"/>
                <w:sz w:val="24"/>
                <w:szCs w:val="24"/>
                <w:highlight w:val="none"/>
              </w:rPr>
              <w:t>承租面积    平方米</w:t>
            </w:r>
          </w:p>
        </w:tc>
      </w:tr>
      <w:tr w14:paraId="3B9BBB62">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4620" w:type="dxa"/>
            <w:gridSpan w:val="2"/>
            <w:noWrap w:val="0"/>
          </w:tcPr>
          <w:p w14:paraId="178EC763">
            <w:pPr>
              <w:pStyle w:val="230"/>
              <w:shd w:val="clear" w:color="auto"/>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单位简历及内设机构情况</w:t>
            </w:r>
          </w:p>
        </w:tc>
        <w:tc>
          <w:tcPr>
            <w:tcW w:w="4507" w:type="dxa"/>
            <w:gridSpan w:val="3"/>
            <w:noWrap w:val="0"/>
          </w:tcPr>
          <w:p w14:paraId="41EE230E">
            <w:pPr>
              <w:pStyle w:val="230"/>
              <w:shd w:val="clear" w:color="auto"/>
              <w:spacing w:line="400" w:lineRule="exact"/>
              <w:ind w:firstLine="480"/>
              <w:rPr>
                <w:rFonts w:ascii="宋体" w:hAnsi="宋体" w:cs="宋体"/>
                <w:color w:val="auto"/>
                <w:sz w:val="24"/>
                <w:szCs w:val="24"/>
                <w:highlight w:val="none"/>
              </w:rPr>
            </w:pPr>
          </w:p>
        </w:tc>
      </w:tr>
      <w:tr w14:paraId="534EC0F7">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4620" w:type="dxa"/>
            <w:gridSpan w:val="2"/>
            <w:noWrap w:val="0"/>
          </w:tcPr>
          <w:p w14:paraId="3CA86C52">
            <w:pPr>
              <w:pStyle w:val="230"/>
              <w:shd w:val="clear" w:color="auto"/>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单位优势及特长</w:t>
            </w:r>
          </w:p>
        </w:tc>
        <w:tc>
          <w:tcPr>
            <w:tcW w:w="4507" w:type="dxa"/>
            <w:gridSpan w:val="3"/>
            <w:noWrap w:val="0"/>
          </w:tcPr>
          <w:p w14:paraId="3AB7D5BF">
            <w:pPr>
              <w:pStyle w:val="230"/>
              <w:shd w:val="clear" w:color="auto"/>
              <w:spacing w:line="400" w:lineRule="exact"/>
              <w:ind w:firstLine="480"/>
              <w:rPr>
                <w:rFonts w:ascii="宋体" w:hAnsi="宋体" w:cs="宋体"/>
                <w:color w:val="auto"/>
                <w:sz w:val="24"/>
                <w:szCs w:val="24"/>
                <w:highlight w:val="none"/>
              </w:rPr>
            </w:pPr>
          </w:p>
        </w:tc>
      </w:tr>
      <w:tr w14:paraId="0180BA6B">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4620" w:type="dxa"/>
            <w:gridSpan w:val="2"/>
            <w:noWrap w:val="0"/>
          </w:tcPr>
          <w:p w14:paraId="5B216EA2">
            <w:pPr>
              <w:pStyle w:val="230"/>
              <w:shd w:val="clear" w:color="auto"/>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近三年来完成或正在履行的重大合同情况</w:t>
            </w:r>
          </w:p>
        </w:tc>
        <w:tc>
          <w:tcPr>
            <w:tcW w:w="4507" w:type="dxa"/>
            <w:gridSpan w:val="3"/>
            <w:noWrap w:val="0"/>
          </w:tcPr>
          <w:p w14:paraId="6F7C7FB1">
            <w:pPr>
              <w:pStyle w:val="230"/>
              <w:shd w:val="clear" w:color="auto"/>
              <w:spacing w:line="400" w:lineRule="exact"/>
              <w:ind w:firstLine="480"/>
              <w:rPr>
                <w:rFonts w:ascii="宋体" w:hAnsi="宋体" w:cs="宋体"/>
                <w:color w:val="auto"/>
                <w:sz w:val="24"/>
                <w:szCs w:val="24"/>
                <w:highlight w:val="none"/>
              </w:rPr>
            </w:pPr>
          </w:p>
        </w:tc>
      </w:tr>
      <w:tr w14:paraId="63ABC093">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4620" w:type="dxa"/>
            <w:gridSpan w:val="2"/>
            <w:noWrap w:val="0"/>
          </w:tcPr>
          <w:p w14:paraId="069CB270">
            <w:pPr>
              <w:pStyle w:val="230"/>
              <w:shd w:val="clear" w:color="auto"/>
              <w:spacing w:line="400" w:lineRule="exact"/>
              <w:ind w:firstLine="480"/>
              <w:rPr>
                <w:rFonts w:ascii="宋体" w:hAnsi="宋体" w:cs="宋体"/>
                <w:color w:val="auto"/>
                <w:sz w:val="24"/>
                <w:szCs w:val="24"/>
                <w:highlight w:val="none"/>
              </w:rPr>
            </w:pPr>
            <w:r>
              <w:rPr>
                <w:rFonts w:hint="eastAsia" w:ascii="宋体" w:hAnsi="宋体" w:cs="宋体"/>
                <w:bCs/>
                <w:color w:val="auto"/>
                <w:sz w:val="24"/>
                <w:szCs w:val="24"/>
                <w:highlight w:val="none"/>
              </w:rPr>
              <w:t>近三年来受行业主管部门考核评价及业主评价意见</w:t>
            </w:r>
          </w:p>
        </w:tc>
        <w:tc>
          <w:tcPr>
            <w:tcW w:w="4507" w:type="dxa"/>
            <w:gridSpan w:val="3"/>
            <w:noWrap w:val="0"/>
          </w:tcPr>
          <w:p w14:paraId="51D4BE16">
            <w:pPr>
              <w:pStyle w:val="230"/>
              <w:shd w:val="clear" w:color="auto"/>
              <w:spacing w:line="400" w:lineRule="exact"/>
              <w:ind w:firstLine="480"/>
              <w:rPr>
                <w:rFonts w:ascii="宋体" w:hAnsi="宋体" w:cs="宋体"/>
                <w:color w:val="auto"/>
                <w:sz w:val="24"/>
                <w:szCs w:val="24"/>
                <w:highlight w:val="none"/>
              </w:rPr>
            </w:pPr>
          </w:p>
        </w:tc>
      </w:tr>
      <w:tr w14:paraId="5FFC39BD">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4620" w:type="dxa"/>
            <w:gridSpan w:val="2"/>
            <w:noWrap w:val="0"/>
          </w:tcPr>
          <w:p w14:paraId="14335A4C">
            <w:pPr>
              <w:pStyle w:val="230"/>
              <w:shd w:val="clear" w:color="auto"/>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最近3年内有无因违纪或是其他原因被投诉或起诉的情况及说明</w:t>
            </w:r>
          </w:p>
        </w:tc>
        <w:tc>
          <w:tcPr>
            <w:tcW w:w="4507" w:type="dxa"/>
            <w:gridSpan w:val="3"/>
            <w:noWrap w:val="0"/>
          </w:tcPr>
          <w:p w14:paraId="13B9E92F">
            <w:pPr>
              <w:pStyle w:val="230"/>
              <w:shd w:val="clear" w:color="auto"/>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（包括解决方式和结果）</w:t>
            </w:r>
          </w:p>
        </w:tc>
      </w:tr>
      <w:tr w14:paraId="1FF705E5">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c>
          <w:tcPr>
            <w:tcW w:w="4620" w:type="dxa"/>
            <w:gridSpan w:val="2"/>
            <w:noWrap w:val="0"/>
          </w:tcPr>
          <w:p w14:paraId="34FC53C7">
            <w:pPr>
              <w:pStyle w:val="230"/>
              <w:shd w:val="clear" w:color="auto"/>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最近3年内主要负责人有无因经济犯罪被司法机关追究的情况及说明</w:t>
            </w:r>
          </w:p>
        </w:tc>
        <w:tc>
          <w:tcPr>
            <w:tcW w:w="4507" w:type="dxa"/>
            <w:gridSpan w:val="3"/>
            <w:noWrap w:val="0"/>
          </w:tcPr>
          <w:p w14:paraId="025AE041">
            <w:pPr>
              <w:shd w:val="clear" w:color="auto"/>
              <w:spacing w:line="360" w:lineRule="auto"/>
              <w:ind w:firstLine="480"/>
              <w:rPr>
                <w:rFonts w:ascii="宋体" w:hAnsi="宋体" w:cs="宋体"/>
                <w:color w:val="auto"/>
                <w:sz w:val="24"/>
                <w:highlight w:val="none"/>
              </w:rPr>
            </w:pPr>
          </w:p>
        </w:tc>
      </w:tr>
      <w:tr w14:paraId="29636BE8">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47" w:hRule="atLeast"/>
        </w:trPr>
        <w:tc>
          <w:tcPr>
            <w:tcW w:w="4620" w:type="dxa"/>
            <w:gridSpan w:val="2"/>
            <w:noWrap w:val="0"/>
          </w:tcPr>
          <w:p w14:paraId="05B5A609">
            <w:pPr>
              <w:pStyle w:val="230"/>
              <w:shd w:val="clear" w:color="auto"/>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其他需要说明的情况</w:t>
            </w:r>
          </w:p>
        </w:tc>
        <w:tc>
          <w:tcPr>
            <w:tcW w:w="4507" w:type="dxa"/>
            <w:gridSpan w:val="3"/>
            <w:noWrap w:val="0"/>
          </w:tcPr>
          <w:p w14:paraId="0B722451">
            <w:pPr>
              <w:pStyle w:val="230"/>
              <w:shd w:val="clear" w:color="auto"/>
              <w:spacing w:line="400" w:lineRule="exact"/>
              <w:ind w:firstLine="480"/>
              <w:rPr>
                <w:rFonts w:ascii="宋体" w:hAnsi="宋体" w:cs="宋体"/>
                <w:color w:val="auto"/>
                <w:sz w:val="24"/>
                <w:szCs w:val="24"/>
                <w:highlight w:val="none"/>
              </w:rPr>
            </w:pPr>
          </w:p>
        </w:tc>
      </w:tr>
    </w:tbl>
    <w:p w14:paraId="39DBBF69">
      <w:pPr>
        <w:shd w:val="clear" w:color="auto"/>
        <w:spacing w:line="360" w:lineRule="auto"/>
        <w:ind w:firstLine="480"/>
        <w:rPr>
          <w:rFonts w:ascii="宋体" w:hAnsi="宋体" w:cs="宋体"/>
          <w:b/>
          <w:bCs/>
          <w:color w:val="auto"/>
          <w:sz w:val="24"/>
          <w:highlight w:val="none"/>
        </w:rPr>
      </w:pPr>
      <w:r>
        <w:rPr>
          <w:rFonts w:hint="eastAsia" w:ascii="宋体" w:hAnsi="宋体" w:cs="宋体"/>
          <w:b/>
          <w:bCs/>
          <w:color w:val="auto"/>
          <w:sz w:val="24"/>
          <w:highlight w:val="none"/>
        </w:rPr>
        <w:t>投标供应商（盖章）：</w:t>
      </w:r>
    </w:p>
    <w:p w14:paraId="0D71F771">
      <w:pPr>
        <w:shd w:val="clear" w:color="auto"/>
        <w:spacing w:line="360" w:lineRule="auto"/>
        <w:ind w:firstLine="480"/>
        <w:rPr>
          <w:rFonts w:ascii="宋体" w:hAnsi="宋体" w:cs="宋体"/>
          <w:b/>
          <w:bCs/>
          <w:color w:val="auto"/>
          <w:sz w:val="24"/>
          <w:highlight w:val="none"/>
        </w:rPr>
      </w:pPr>
      <w:r>
        <w:rPr>
          <w:rFonts w:hint="eastAsia" w:ascii="宋体" w:hAnsi="宋体" w:cs="宋体"/>
          <w:b/>
          <w:bCs/>
          <w:color w:val="auto"/>
          <w:sz w:val="24"/>
          <w:highlight w:val="none"/>
        </w:rPr>
        <w:t>法定代表人或法定代表人授权代表签字或盖章：</w:t>
      </w:r>
    </w:p>
    <w:p w14:paraId="71FFF178">
      <w:pPr>
        <w:shd w:val="clear" w:color="auto"/>
        <w:spacing w:line="360" w:lineRule="auto"/>
        <w:ind w:firstLine="480"/>
        <w:rPr>
          <w:rFonts w:ascii="宋体" w:hAnsi="宋体" w:cs="宋体"/>
          <w:b/>
          <w:bCs/>
          <w:color w:val="auto"/>
          <w:sz w:val="24"/>
          <w:highlight w:val="none"/>
        </w:rPr>
      </w:pPr>
      <w:r>
        <w:rPr>
          <w:rFonts w:hint="eastAsia" w:ascii="宋体" w:hAnsi="宋体" w:cs="宋体"/>
          <w:b/>
          <w:bCs/>
          <w:color w:val="auto"/>
          <w:sz w:val="24"/>
          <w:highlight w:val="none"/>
        </w:rPr>
        <w:t>日期：</w:t>
      </w:r>
    </w:p>
    <w:p w14:paraId="6A39EED3">
      <w:pPr>
        <w:shd w:val="clear" w:color="auto"/>
        <w:rPr>
          <w:rFonts w:ascii="宋体" w:hAnsi="宋体" w:cs="宋体"/>
          <w:bCs/>
          <w:color w:val="auto"/>
          <w:sz w:val="24"/>
          <w:szCs w:val="22"/>
          <w:highlight w:val="none"/>
        </w:rPr>
      </w:pPr>
      <w:r>
        <w:rPr>
          <w:rFonts w:hint="eastAsia" w:ascii="宋体" w:hAnsi="宋体" w:cs="宋体"/>
          <w:bCs/>
          <w:color w:val="auto"/>
          <w:sz w:val="24"/>
          <w:szCs w:val="22"/>
          <w:highlight w:val="none"/>
        </w:rPr>
        <w:br w:type="page" w:clear="all"/>
      </w:r>
    </w:p>
    <w:p w14:paraId="278BFF18">
      <w:pPr>
        <w:shd w:val="clear" w:color="auto"/>
        <w:rPr>
          <w:rFonts w:ascii="宋体" w:hAnsi="宋体" w:cs="宋体"/>
          <w:b/>
          <w:bCs/>
          <w:color w:val="auto"/>
          <w:sz w:val="24"/>
          <w:highlight w:val="none"/>
        </w:rPr>
      </w:pPr>
      <w:r>
        <w:rPr>
          <w:rFonts w:hint="eastAsia" w:ascii="宋体" w:hAnsi="宋体" w:cs="宋体"/>
          <w:bCs/>
          <w:color w:val="auto"/>
          <w:sz w:val="24"/>
          <w:szCs w:val="22"/>
          <w:highlight w:val="none"/>
        </w:rPr>
        <w:t>（十三）服务方案</w:t>
      </w:r>
      <w:r>
        <w:rPr>
          <w:rFonts w:hint="eastAsia" w:ascii="宋体" w:hAnsi="宋体" w:cs="宋体"/>
          <w:b/>
          <w:color w:val="auto"/>
          <w:sz w:val="24"/>
          <w:highlight w:val="none"/>
        </w:rPr>
        <w:t>（根据评分标准自行编制）</w:t>
      </w:r>
    </w:p>
    <w:p w14:paraId="05CE949C">
      <w:pPr>
        <w:shd w:val="clear" w:color="auto"/>
        <w:jc w:val="center"/>
        <w:rPr>
          <w:rFonts w:hint="eastAsia" w:ascii="宋体" w:hAnsi="宋体" w:cs="宋体"/>
          <w:b/>
          <w:bCs/>
          <w:color w:val="auto"/>
          <w:sz w:val="24"/>
          <w:szCs w:val="32"/>
          <w:highlight w:val="none"/>
          <w:lang w:val="en-US" w:eastAsia="zh-CN"/>
        </w:rPr>
      </w:pPr>
    </w:p>
    <w:p w14:paraId="12F0C3A1">
      <w:pPr>
        <w:shd w:val="clear" w:color="auto"/>
        <w:jc w:val="center"/>
        <w:rPr>
          <w:rFonts w:hint="eastAsia" w:ascii="宋体" w:hAnsi="宋体" w:eastAsia="宋体" w:cs="宋体"/>
          <w:b/>
          <w:bCs/>
          <w:color w:val="auto"/>
          <w:sz w:val="24"/>
          <w:szCs w:val="32"/>
          <w:highlight w:val="none"/>
          <w:lang w:val="en-US" w:eastAsia="zh-CN"/>
        </w:rPr>
      </w:pPr>
      <w:r>
        <w:rPr>
          <w:rFonts w:hint="eastAsia" w:ascii="宋体" w:hAnsi="宋体" w:cs="宋体"/>
          <w:b/>
          <w:bCs/>
          <w:color w:val="auto"/>
          <w:sz w:val="24"/>
          <w:szCs w:val="32"/>
          <w:highlight w:val="none"/>
          <w:lang w:val="en-US" w:eastAsia="zh-CN"/>
        </w:rPr>
        <w:t>暗标</w:t>
      </w:r>
    </w:p>
    <w:p w14:paraId="7F0FB0C2">
      <w:pPr>
        <w:shd w:val="clear" w:color="auto"/>
        <w:rPr>
          <w:rFonts w:ascii="宋体" w:hAnsi="宋体" w:cs="宋体"/>
          <w:color w:val="auto"/>
          <w:highlight w:val="none"/>
        </w:rPr>
      </w:pPr>
    </w:p>
    <w:p w14:paraId="03F044BC">
      <w:pPr>
        <w:shd w:val="clear" w:color="auto"/>
        <w:rPr>
          <w:rFonts w:ascii="宋体" w:hAnsi="宋体" w:cs="宋体"/>
          <w:color w:val="auto"/>
          <w:highlight w:val="none"/>
        </w:rPr>
      </w:pPr>
    </w:p>
    <w:sectPr>
      <w:footerReference r:id="rId4" w:type="default"/>
      <w:pgSz w:w="11906" w:h="16838"/>
      <w:pgMar w:top="1440" w:right="1440" w:bottom="1440" w:left="1440" w:header="851" w:footer="992" w:gutter="0"/>
      <w:pgBorders>
        <w:top w:val="none" w:sz="0" w:space="0"/>
        <w:left w:val="none" w:sz="0" w:space="0"/>
        <w:bottom w:val="none" w:sz="0" w:space="0"/>
        <w:right w:val="none" w:sz="0" w:space="0"/>
      </w:pgBorders>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026ED4">
    <w:pPr>
      <w:pStyle w:val="233"/>
    </w:pPr>
    <w:r>
      <w:rPr>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20EAD90B">
                          <w:pPr>
                            <w:pStyle w:val="233"/>
                          </w:pPr>
                          <w:r>
                            <w:fldChar w:fldCharType="begin"/>
                          </w:r>
                          <w:r>
                            <w:instrText xml:space="preserve"> PAGE  \* MERGEFORMAT </w:instrText>
                          </w:r>
                          <w:r>
                            <w:fldChar w:fldCharType="separate"/>
                          </w:r>
                          <w:r>
                            <w:t>33</w:t>
                          </w:r>
                          <w:r>
                            <w:fldChar w:fldCharType="end"/>
                          </w:r>
                        </w:p>
                        <w:p w14:paraId="185EC3C4"/>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JIhxnNYBAAC1AwAADgAAAAAAAAABACAAAAAe&#10;AQAAZHJzL2Uyb0RvYy54bWxQSwUGAAAAAAYABgBZAQAAZgUAAAAA&#10;">
              <v:fill on="f" focussize="0,0"/>
              <v:stroke on="f"/>
              <v:imagedata o:title=""/>
              <o:lock v:ext="edit" aspectratio="f"/>
              <v:textbox inset="0mm,0mm,0mm,0mm" style="mso-fit-shape-to-text:t;">
                <w:txbxContent>
                  <w:p w14:paraId="20EAD90B">
                    <w:pPr>
                      <w:pStyle w:val="233"/>
                    </w:pPr>
                    <w:r>
                      <w:fldChar w:fldCharType="begin"/>
                    </w:r>
                    <w:r>
                      <w:instrText xml:space="preserve"> PAGE  \* MERGEFORMAT </w:instrText>
                    </w:r>
                    <w:r>
                      <w:fldChar w:fldCharType="separate"/>
                    </w:r>
                    <w:r>
                      <w:t>33</w:t>
                    </w:r>
                    <w:r>
                      <w:fldChar w:fldCharType="end"/>
                    </w:r>
                  </w:p>
                  <w:p w14:paraId="185EC3C4"/>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CD68E">
    <w:pPr>
      <w:pStyle w:val="232"/>
      <w:pBdr>
        <w:bottom w:val="none" w:color="000000"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
    <w:nsid w:val="CF092B84"/>
    <w:multiLevelType w:val="multilevel"/>
    <w:tmpl w:val="CF092B84"/>
    <w:lvl w:ilvl="0" w:tentative="0">
      <w:start w:val="4"/>
      <w:numFmt w:val="japaneseCounting"/>
      <w:lvlText w:val="（%1）"/>
      <w:lvlJc w:val="left"/>
      <w:pPr>
        <w:ind w:left="1138" w:hanging="720"/>
      </w:pPr>
    </w:lvl>
    <w:lvl w:ilvl="1" w:tentative="0">
      <w:start w:val="1"/>
      <w:numFmt w:val="lowerLetter"/>
      <w:lvlText w:val="%2)"/>
      <w:lvlJc w:val="left"/>
      <w:pPr>
        <w:ind w:left="1258" w:hanging="420"/>
      </w:pPr>
    </w:lvl>
    <w:lvl w:ilvl="2" w:tentative="0">
      <w:start w:val="1"/>
      <w:numFmt w:val="lowerRoman"/>
      <w:lvlText w:val="%3."/>
      <w:lvlJc w:val="right"/>
      <w:pPr>
        <w:ind w:left="1678" w:hanging="420"/>
      </w:pPr>
    </w:lvl>
    <w:lvl w:ilvl="3" w:tentative="0">
      <w:start w:val="1"/>
      <w:numFmt w:val="decimal"/>
      <w:lvlText w:val="%4."/>
      <w:lvlJc w:val="left"/>
      <w:pPr>
        <w:ind w:left="2098" w:hanging="420"/>
      </w:pPr>
    </w:lvl>
    <w:lvl w:ilvl="4" w:tentative="0">
      <w:start w:val="1"/>
      <w:numFmt w:val="lowerLetter"/>
      <w:lvlText w:val="%5)"/>
      <w:lvlJc w:val="left"/>
      <w:pPr>
        <w:ind w:left="2518" w:hanging="420"/>
      </w:pPr>
    </w:lvl>
    <w:lvl w:ilvl="5" w:tentative="0">
      <w:start w:val="1"/>
      <w:numFmt w:val="lowerRoman"/>
      <w:lvlText w:val="%6."/>
      <w:lvlJc w:val="right"/>
      <w:pPr>
        <w:ind w:left="2938" w:hanging="420"/>
      </w:pPr>
    </w:lvl>
    <w:lvl w:ilvl="6" w:tentative="0">
      <w:start w:val="1"/>
      <w:numFmt w:val="decimal"/>
      <w:lvlText w:val="%7."/>
      <w:lvlJc w:val="left"/>
      <w:pPr>
        <w:ind w:left="3358" w:hanging="420"/>
      </w:pPr>
    </w:lvl>
    <w:lvl w:ilvl="7" w:tentative="0">
      <w:start w:val="1"/>
      <w:numFmt w:val="lowerLetter"/>
      <w:lvlText w:val="%8)"/>
      <w:lvlJc w:val="left"/>
      <w:pPr>
        <w:ind w:left="3778" w:hanging="420"/>
      </w:pPr>
    </w:lvl>
    <w:lvl w:ilvl="8" w:tentative="0">
      <w:start w:val="1"/>
      <w:numFmt w:val="lowerRoman"/>
      <w:lvlText w:val="%9."/>
      <w:lvlJc w:val="right"/>
      <w:pPr>
        <w:ind w:left="4198" w:hanging="420"/>
      </w:pPr>
    </w:lvl>
  </w:abstractNum>
  <w:abstractNum w:abstractNumId="2">
    <w:nsid w:val="DCBA6B53"/>
    <w:multiLevelType w:val="multilevel"/>
    <w:tmpl w:val="DCBA6B53"/>
    <w:lvl w:ilvl="0" w:tentative="0">
      <w:start w:val="1"/>
      <w:numFmt w:val="chineseCountingThousand"/>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3">
    <w:nsid w:val="0053208E"/>
    <w:multiLevelType w:val="multilevel"/>
    <w:tmpl w:val="0053208E"/>
    <w:lvl w:ilvl="0" w:tentative="0">
      <w:start w:val="1"/>
      <w:numFmt w:val="bullet"/>
      <w:pStyle w:val="26"/>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3165"/>
        </w:tabs>
        <w:ind w:left="3165" w:hanging="420"/>
      </w:pPr>
      <w:rPr>
        <w:rFonts w:hint="default" w:ascii="Wingdings" w:hAnsi="Wingdings"/>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4">
    <w:nsid w:val="03D62ECE"/>
    <w:multiLevelType w:val="multilevel"/>
    <w:tmpl w:val="03D62ECE"/>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92BAB"/>
    <w:rsid w:val="00A0245C"/>
    <w:rsid w:val="00C34DAD"/>
    <w:rsid w:val="00E371FE"/>
    <w:rsid w:val="00E46AD2"/>
    <w:rsid w:val="00EB3E2D"/>
    <w:rsid w:val="00EC7D6F"/>
    <w:rsid w:val="00FF0E4A"/>
    <w:rsid w:val="010351AA"/>
    <w:rsid w:val="010C0502"/>
    <w:rsid w:val="01483505"/>
    <w:rsid w:val="014D4677"/>
    <w:rsid w:val="018856AF"/>
    <w:rsid w:val="01D17056"/>
    <w:rsid w:val="0200793B"/>
    <w:rsid w:val="020C62E0"/>
    <w:rsid w:val="02467573"/>
    <w:rsid w:val="02555ED9"/>
    <w:rsid w:val="0284231A"/>
    <w:rsid w:val="03435D32"/>
    <w:rsid w:val="036B5288"/>
    <w:rsid w:val="037C1244"/>
    <w:rsid w:val="03A32C74"/>
    <w:rsid w:val="03EA08A3"/>
    <w:rsid w:val="04161698"/>
    <w:rsid w:val="042B5143"/>
    <w:rsid w:val="046248DD"/>
    <w:rsid w:val="04D53301"/>
    <w:rsid w:val="04FF3EDA"/>
    <w:rsid w:val="0525478B"/>
    <w:rsid w:val="0539563E"/>
    <w:rsid w:val="054B711F"/>
    <w:rsid w:val="05595CE0"/>
    <w:rsid w:val="05EA6938"/>
    <w:rsid w:val="063522A9"/>
    <w:rsid w:val="06475B39"/>
    <w:rsid w:val="06624721"/>
    <w:rsid w:val="0664493D"/>
    <w:rsid w:val="06C4362D"/>
    <w:rsid w:val="06D870D9"/>
    <w:rsid w:val="072B545A"/>
    <w:rsid w:val="073D0CEA"/>
    <w:rsid w:val="07C82CA9"/>
    <w:rsid w:val="082F0F7A"/>
    <w:rsid w:val="085F360E"/>
    <w:rsid w:val="086A1FB2"/>
    <w:rsid w:val="09150170"/>
    <w:rsid w:val="09271C52"/>
    <w:rsid w:val="0959519B"/>
    <w:rsid w:val="099674B9"/>
    <w:rsid w:val="099A0675"/>
    <w:rsid w:val="09B74D83"/>
    <w:rsid w:val="0A2368BD"/>
    <w:rsid w:val="0B136931"/>
    <w:rsid w:val="0B867103"/>
    <w:rsid w:val="0B8769D7"/>
    <w:rsid w:val="0C1F2BBE"/>
    <w:rsid w:val="0C272694"/>
    <w:rsid w:val="0C525237"/>
    <w:rsid w:val="0C8F1FE8"/>
    <w:rsid w:val="0C9475FE"/>
    <w:rsid w:val="0CA02447"/>
    <w:rsid w:val="0CBD1845"/>
    <w:rsid w:val="0CC7352F"/>
    <w:rsid w:val="0D4508F8"/>
    <w:rsid w:val="0D5154EF"/>
    <w:rsid w:val="0D927FE1"/>
    <w:rsid w:val="0D991370"/>
    <w:rsid w:val="0DCD726B"/>
    <w:rsid w:val="0E0A37FF"/>
    <w:rsid w:val="0EAC50D3"/>
    <w:rsid w:val="0EB65F51"/>
    <w:rsid w:val="0ED63EFE"/>
    <w:rsid w:val="0EEE7499"/>
    <w:rsid w:val="0F2100AA"/>
    <w:rsid w:val="0F5B48D3"/>
    <w:rsid w:val="0F6A2898"/>
    <w:rsid w:val="102E1B18"/>
    <w:rsid w:val="10757746"/>
    <w:rsid w:val="108C0107"/>
    <w:rsid w:val="10BB784F"/>
    <w:rsid w:val="10C34956"/>
    <w:rsid w:val="10FB27E3"/>
    <w:rsid w:val="119552D9"/>
    <w:rsid w:val="119B31DD"/>
    <w:rsid w:val="11BF47AF"/>
    <w:rsid w:val="11E608FC"/>
    <w:rsid w:val="11ED1C8A"/>
    <w:rsid w:val="129465AA"/>
    <w:rsid w:val="12EA441C"/>
    <w:rsid w:val="13064106"/>
    <w:rsid w:val="133236CD"/>
    <w:rsid w:val="133E2072"/>
    <w:rsid w:val="13454368"/>
    <w:rsid w:val="13702B73"/>
    <w:rsid w:val="13741F37"/>
    <w:rsid w:val="13915586"/>
    <w:rsid w:val="139D148E"/>
    <w:rsid w:val="13A021F1"/>
    <w:rsid w:val="13AB3BAB"/>
    <w:rsid w:val="13AC7923"/>
    <w:rsid w:val="13B914A7"/>
    <w:rsid w:val="145A2EDB"/>
    <w:rsid w:val="14952165"/>
    <w:rsid w:val="149A777C"/>
    <w:rsid w:val="14FF7303"/>
    <w:rsid w:val="15194B44"/>
    <w:rsid w:val="15235D67"/>
    <w:rsid w:val="1585042C"/>
    <w:rsid w:val="158F12AA"/>
    <w:rsid w:val="15E30295"/>
    <w:rsid w:val="16465E0D"/>
    <w:rsid w:val="16797F90"/>
    <w:rsid w:val="16985257"/>
    <w:rsid w:val="169E79F7"/>
    <w:rsid w:val="16AB5C70"/>
    <w:rsid w:val="176D1177"/>
    <w:rsid w:val="180A4C18"/>
    <w:rsid w:val="187A3B4C"/>
    <w:rsid w:val="189466C1"/>
    <w:rsid w:val="189A2440"/>
    <w:rsid w:val="18B057C0"/>
    <w:rsid w:val="18D86AC4"/>
    <w:rsid w:val="18FA4C8D"/>
    <w:rsid w:val="19037FE5"/>
    <w:rsid w:val="193E726F"/>
    <w:rsid w:val="194505FE"/>
    <w:rsid w:val="197F1036"/>
    <w:rsid w:val="199B1FCC"/>
    <w:rsid w:val="19C80001"/>
    <w:rsid w:val="19CE05F3"/>
    <w:rsid w:val="19D63004"/>
    <w:rsid w:val="1A136006"/>
    <w:rsid w:val="1A143B2C"/>
    <w:rsid w:val="1A163D48"/>
    <w:rsid w:val="1A206975"/>
    <w:rsid w:val="1A240213"/>
    <w:rsid w:val="1A2E1092"/>
    <w:rsid w:val="1A351AD6"/>
    <w:rsid w:val="1ACB4B33"/>
    <w:rsid w:val="1AF20311"/>
    <w:rsid w:val="1B3F7D69"/>
    <w:rsid w:val="1B527002"/>
    <w:rsid w:val="1B530684"/>
    <w:rsid w:val="1BBB6955"/>
    <w:rsid w:val="1BD73063"/>
    <w:rsid w:val="1BE20386"/>
    <w:rsid w:val="1C7B2C32"/>
    <w:rsid w:val="1D250AEC"/>
    <w:rsid w:val="1D3C5874"/>
    <w:rsid w:val="1D882867"/>
    <w:rsid w:val="1DA67191"/>
    <w:rsid w:val="1DAC0C4B"/>
    <w:rsid w:val="1DCC1FFE"/>
    <w:rsid w:val="1DD71A40"/>
    <w:rsid w:val="1E197963"/>
    <w:rsid w:val="1E8C6387"/>
    <w:rsid w:val="1E9A4F48"/>
    <w:rsid w:val="1F686DF4"/>
    <w:rsid w:val="1F7A2683"/>
    <w:rsid w:val="1FA20BD2"/>
    <w:rsid w:val="20E64474"/>
    <w:rsid w:val="21380225"/>
    <w:rsid w:val="213A47C0"/>
    <w:rsid w:val="21464F13"/>
    <w:rsid w:val="218D48F0"/>
    <w:rsid w:val="21A47E8B"/>
    <w:rsid w:val="21B75E11"/>
    <w:rsid w:val="21D70261"/>
    <w:rsid w:val="227D2BB6"/>
    <w:rsid w:val="22A2261D"/>
    <w:rsid w:val="23DA5DE6"/>
    <w:rsid w:val="243674C1"/>
    <w:rsid w:val="24391DEB"/>
    <w:rsid w:val="243F0845"/>
    <w:rsid w:val="24653902"/>
    <w:rsid w:val="24AB1B5A"/>
    <w:rsid w:val="251A293E"/>
    <w:rsid w:val="25CE197B"/>
    <w:rsid w:val="25D1291E"/>
    <w:rsid w:val="264105A8"/>
    <w:rsid w:val="26600825"/>
    <w:rsid w:val="268A4107"/>
    <w:rsid w:val="26B267A0"/>
    <w:rsid w:val="26B97F35"/>
    <w:rsid w:val="26BD5C77"/>
    <w:rsid w:val="270F7B55"/>
    <w:rsid w:val="27131DD6"/>
    <w:rsid w:val="276E6F72"/>
    <w:rsid w:val="27AB3D22"/>
    <w:rsid w:val="27AC30E4"/>
    <w:rsid w:val="27C546B8"/>
    <w:rsid w:val="27F60D15"/>
    <w:rsid w:val="28074CD0"/>
    <w:rsid w:val="283A50A6"/>
    <w:rsid w:val="2867406E"/>
    <w:rsid w:val="28700AC7"/>
    <w:rsid w:val="28EB2659"/>
    <w:rsid w:val="292024ED"/>
    <w:rsid w:val="296A7AB0"/>
    <w:rsid w:val="29F01EC0"/>
    <w:rsid w:val="2A0B6CFA"/>
    <w:rsid w:val="2A4F697B"/>
    <w:rsid w:val="2A691C72"/>
    <w:rsid w:val="2A866380"/>
    <w:rsid w:val="2AFE685E"/>
    <w:rsid w:val="2C574478"/>
    <w:rsid w:val="2C8B4122"/>
    <w:rsid w:val="2C9E20A7"/>
    <w:rsid w:val="2CCD473A"/>
    <w:rsid w:val="2D287BC3"/>
    <w:rsid w:val="2D376058"/>
    <w:rsid w:val="2D74105A"/>
    <w:rsid w:val="2DBF07F5"/>
    <w:rsid w:val="2DF83A39"/>
    <w:rsid w:val="2E051CB2"/>
    <w:rsid w:val="2E50117F"/>
    <w:rsid w:val="2E552C39"/>
    <w:rsid w:val="2E7D5CEC"/>
    <w:rsid w:val="2F09650F"/>
    <w:rsid w:val="2F0A3A24"/>
    <w:rsid w:val="2F1F0B51"/>
    <w:rsid w:val="2F542EF1"/>
    <w:rsid w:val="2FAA464B"/>
    <w:rsid w:val="30450A8C"/>
    <w:rsid w:val="3058256D"/>
    <w:rsid w:val="305D4027"/>
    <w:rsid w:val="30AB4D93"/>
    <w:rsid w:val="30B55C11"/>
    <w:rsid w:val="30D20571"/>
    <w:rsid w:val="30DC593B"/>
    <w:rsid w:val="3148438F"/>
    <w:rsid w:val="31774C75"/>
    <w:rsid w:val="317E6003"/>
    <w:rsid w:val="31BB1005"/>
    <w:rsid w:val="31CF2D03"/>
    <w:rsid w:val="31DD325D"/>
    <w:rsid w:val="31E06CBE"/>
    <w:rsid w:val="31FA3731"/>
    <w:rsid w:val="32340DB8"/>
    <w:rsid w:val="32723F14"/>
    <w:rsid w:val="327D275F"/>
    <w:rsid w:val="32C87138"/>
    <w:rsid w:val="33057CBF"/>
    <w:rsid w:val="332B21BB"/>
    <w:rsid w:val="33353039"/>
    <w:rsid w:val="33A8380B"/>
    <w:rsid w:val="33B57CD6"/>
    <w:rsid w:val="33CB1BC3"/>
    <w:rsid w:val="33D855EF"/>
    <w:rsid w:val="33D92086"/>
    <w:rsid w:val="33ED56C2"/>
    <w:rsid w:val="34677222"/>
    <w:rsid w:val="34EF058C"/>
    <w:rsid w:val="34F676C9"/>
    <w:rsid w:val="354A1F83"/>
    <w:rsid w:val="3569521C"/>
    <w:rsid w:val="359009FB"/>
    <w:rsid w:val="35EA11CD"/>
    <w:rsid w:val="36145188"/>
    <w:rsid w:val="36327500"/>
    <w:rsid w:val="363B0967"/>
    <w:rsid w:val="36525CB0"/>
    <w:rsid w:val="366A124C"/>
    <w:rsid w:val="36716136"/>
    <w:rsid w:val="367E60DF"/>
    <w:rsid w:val="36E6103A"/>
    <w:rsid w:val="36E763F9"/>
    <w:rsid w:val="36F62AE0"/>
    <w:rsid w:val="37411994"/>
    <w:rsid w:val="374E6478"/>
    <w:rsid w:val="376143FD"/>
    <w:rsid w:val="377A726D"/>
    <w:rsid w:val="37977E1F"/>
    <w:rsid w:val="37B704C1"/>
    <w:rsid w:val="37C22D98"/>
    <w:rsid w:val="38425956"/>
    <w:rsid w:val="385B0E4C"/>
    <w:rsid w:val="387E0FDF"/>
    <w:rsid w:val="38BF587F"/>
    <w:rsid w:val="38F11D54"/>
    <w:rsid w:val="391B2FB5"/>
    <w:rsid w:val="393106B1"/>
    <w:rsid w:val="3963744A"/>
    <w:rsid w:val="396B3311"/>
    <w:rsid w:val="39706B79"/>
    <w:rsid w:val="39783C80"/>
    <w:rsid w:val="3A30455A"/>
    <w:rsid w:val="3A777A93"/>
    <w:rsid w:val="3A875FCD"/>
    <w:rsid w:val="3A8F302F"/>
    <w:rsid w:val="3AC0143A"/>
    <w:rsid w:val="3AD61712"/>
    <w:rsid w:val="3AE113B1"/>
    <w:rsid w:val="3BEE1FD7"/>
    <w:rsid w:val="3BF5780A"/>
    <w:rsid w:val="3BF84C04"/>
    <w:rsid w:val="3C2968AD"/>
    <w:rsid w:val="3C942B7F"/>
    <w:rsid w:val="3CAC611A"/>
    <w:rsid w:val="3CBD0327"/>
    <w:rsid w:val="3CEC29BB"/>
    <w:rsid w:val="3CF222CD"/>
    <w:rsid w:val="3D202664"/>
    <w:rsid w:val="3D255ECD"/>
    <w:rsid w:val="3D4C16AB"/>
    <w:rsid w:val="3DA43295"/>
    <w:rsid w:val="3DD07BE6"/>
    <w:rsid w:val="3E2B7513"/>
    <w:rsid w:val="3E666726"/>
    <w:rsid w:val="3E9C5D1B"/>
    <w:rsid w:val="3F453141"/>
    <w:rsid w:val="3F4563B2"/>
    <w:rsid w:val="3F604F9A"/>
    <w:rsid w:val="3F7B6278"/>
    <w:rsid w:val="3FFA53EF"/>
    <w:rsid w:val="400F7F20"/>
    <w:rsid w:val="406F777F"/>
    <w:rsid w:val="4081341A"/>
    <w:rsid w:val="40A9471F"/>
    <w:rsid w:val="40BD5F47"/>
    <w:rsid w:val="411C0175"/>
    <w:rsid w:val="4125763B"/>
    <w:rsid w:val="41474664"/>
    <w:rsid w:val="4171348E"/>
    <w:rsid w:val="417756CE"/>
    <w:rsid w:val="41A01FC6"/>
    <w:rsid w:val="41BC0943"/>
    <w:rsid w:val="421309EA"/>
    <w:rsid w:val="42274495"/>
    <w:rsid w:val="4271365A"/>
    <w:rsid w:val="43014CE6"/>
    <w:rsid w:val="43346E69"/>
    <w:rsid w:val="433E1A96"/>
    <w:rsid w:val="439416B6"/>
    <w:rsid w:val="43A21D5C"/>
    <w:rsid w:val="43B9736F"/>
    <w:rsid w:val="441F5424"/>
    <w:rsid w:val="44290050"/>
    <w:rsid w:val="442C5D93"/>
    <w:rsid w:val="447339C1"/>
    <w:rsid w:val="44780FD8"/>
    <w:rsid w:val="45435F4B"/>
    <w:rsid w:val="456F4704"/>
    <w:rsid w:val="45BB5620"/>
    <w:rsid w:val="45F36B68"/>
    <w:rsid w:val="463A4797"/>
    <w:rsid w:val="46485E0E"/>
    <w:rsid w:val="4665558C"/>
    <w:rsid w:val="46715F11"/>
    <w:rsid w:val="46821C9A"/>
    <w:rsid w:val="46A635DB"/>
    <w:rsid w:val="46A63BDA"/>
    <w:rsid w:val="46BC1650"/>
    <w:rsid w:val="46CD65FC"/>
    <w:rsid w:val="46E75FA1"/>
    <w:rsid w:val="475E2707"/>
    <w:rsid w:val="47797541"/>
    <w:rsid w:val="47E95613"/>
    <w:rsid w:val="47F941DE"/>
    <w:rsid w:val="48474F49"/>
    <w:rsid w:val="484C07B1"/>
    <w:rsid w:val="487D4E0F"/>
    <w:rsid w:val="488D54AD"/>
    <w:rsid w:val="48B73D7B"/>
    <w:rsid w:val="48D32C81"/>
    <w:rsid w:val="48FC4533"/>
    <w:rsid w:val="48FF5824"/>
    <w:rsid w:val="493F0316"/>
    <w:rsid w:val="496833C9"/>
    <w:rsid w:val="49746212"/>
    <w:rsid w:val="4985306E"/>
    <w:rsid w:val="49AF0FF8"/>
    <w:rsid w:val="49DB003F"/>
    <w:rsid w:val="4A1B48DF"/>
    <w:rsid w:val="4A365275"/>
    <w:rsid w:val="4A4F27DB"/>
    <w:rsid w:val="4A630034"/>
    <w:rsid w:val="4A653DAC"/>
    <w:rsid w:val="4B1B446B"/>
    <w:rsid w:val="4B50680B"/>
    <w:rsid w:val="4B603F89"/>
    <w:rsid w:val="4B726781"/>
    <w:rsid w:val="4B863FDA"/>
    <w:rsid w:val="4BB70638"/>
    <w:rsid w:val="4BBE1B96"/>
    <w:rsid w:val="4BF70A34"/>
    <w:rsid w:val="4BFC604B"/>
    <w:rsid w:val="4C172E84"/>
    <w:rsid w:val="4C5916EF"/>
    <w:rsid w:val="4C59349D"/>
    <w:rsid w:val="4C88610C"/>
    <w:rsid w:val="4CAE0331"/>
    <w:rsid w:val="4CB132D9"/>
    <w:rsid w:val="4D16313C"/>
    <w:rsid w:val="4D341814"/>
    <w:rsid w:val="4D3F6B37"/>
    <w:rsid w:val="4D621B94"/>
    <w:rsid w:val="4D8F0A6D"/>
    <w:rsid w:val="4D926C66"/>
    <w:rsid w:val="4DD454D1"/>
    <w:rsid w:val="4E1A4EAE"/>
    <w:rsid w:val="4E3441C2"/>
    <w:rsid w:val="4E7D7917"/>
    <w:rsid w:val="4E922C96"/>
    <w:rsid w:val="4E9702AC"/>
    <w:rsid w:val="4EA07161"/>
    <w:rsid w:val="4ECD3CCE"/>
    <w:rsid w:val="4ED17C62"/>
    <w:rsid w:val="4F155DA1"/>
    <w:rsid w:val="4F22401A"/>
    <w:rsid w:val="4F7D74A2"/>
    <w:rsid w:val="4F912F4E"/>
    <w:rsid w:val="4FDF63AF"/>
    <w:rsid w:val="50562E2D"/>
    <w:rsid w:val="50750293"/>
    <w:rsid w:val="50B1057C"/>
    <w:rsid w:val="50C80BF1"/>
    <w:rsid w:val="50D149F1"/>
    <w:rsid w:val="50D2381E"/>
    <w:rsid w:val="50DA2FFD"/>
    <w:rsid w:val="51181B78"/>
    <w:rsid w:val="51695F30"/>
    <w:rsid w:val="51696CA3"/>
    <w:rsid w:val="516E1798"/>
    <w:rsid w:val="518A40F8"/>
    <w:rsid w:val="518B234A"/>
    <w:rsid w:val="518E282D"/>
    <w:rsid w:val="51AF590D"/>
    <w:rsid w:val="51D13AD5"/>
    <w:rsid w:val="51D535C6"/>
    <w:rsid w:val="51E27A91"/>
    <w:rsid w:val="524B3888"/>
    <w:rsid w:val="52546BE0"/>
    <w:rsid w:val="527E0828"/>
    <w:rsid w:val="527E5A0B"/>
    <w:rsid w:val="52C13B4A"/>
    <w:rsid w:val="53682217"/>
    <w:rsid w:val="536E3CD2"/>
    <w:rsid w:val="536F35A6"/>
    <w:rsid w:val="538E6122"/>
    <w:rsid w:val="53AA2830"/>
    <w:rsid w:val="53D63625"/>
    <w:rsid w:val="541A79B6"/>
    <w:rsid w:val="5454111A"/>
    <w:rsid w:val="545729B8"/>
    <w:rsid w:val="5488491F"/>
    <w:rsid w:val="54BC281B"/>
    <w:rsid w:val="55124B31"/>
    <w:rsid w:val="553B4087"/>
    <w:rsid w:val="55C20305"/>
    <w:rsid w:val="55CA116A"/>
    <w:rsid w:val="561D19DF"/>
    <w:rsid w:val="56293D6D"/>
    <w:rsid w:val="563665FD"/>
    <w:rsid w:val="566E3FE9"/>
    <w:rsid w:val="56BC1C73"/>
    <w:rsid w:val="572F19CA"/>
    <w:rsid w:val="574C432A"/>
    <w:rsid w:val="57541BF2"/>
    <w:rsid w:val="579637F7"/>
    <w:rsid w:val="579B0E0D"/>
    <w:rsid w:val="57AF48B9"/>
    <w:rsid w:val="57C720A3"/>
    <w:rsid w:val="581C3E79"/>
    <w:rsid w:val="58353010"/>
    <w:rsid w:val="584305B4"/>
    <w:rsid w:val="584E40D2"/>
    <w:rsid w:val="586456A3"/>
    <w:rsid w:val="58DE3ED6"/>
    <w:rsid w:val="59012EF2"/>
    <w:rsid w:val="594159E5"/>
    <w:rsid w:val="59E65F92"/>
    <w:rsid w:val="59F111B9"/>
    <w:rsid w:val="5A19426B"/>
    <w:rsid w:val="5A1D1355"/>
    <w:rsid w:val="5A7F4A16"/>
    <w:rsid w:val="5AB92CB4"/>
    <w:rsid w:val="5AC24903"/>
    <w:rsid w:val="5ADA1C4D"/>
    <w:rsid w:val="5AEB5C08"/>
    <w:rsid w:val="5AFF3461"/>
    <w:rsid w:val="5B0311A3"/>
    <w:rsid w:val="5B5C08B4"/>
    <w:rsid w:val="5BAF4E87"/>
    <w:rsid w:val="5BC96396"/>
    <w:rsid w:val="5BD91F04"/>
    <w:rsid w:val="5BEC60DC"/>
    <w:rsid w:val="5C2E04A2"/>
    <w:rsid w:val="5C4001D5"/>
    <w:rsid w:val="5C545A2F"/>
    <w:rsid w:val="5C6B34A4"/>
    <w:rsid w:val="5C7774D3"/>
    <w:rsid w:val="5C78796F"/>
    <w:rsid w:val="5CC93D27"/>
    <w:rsid w:val="5CCB7A9F"/>
    <w:rsid w:val="5D0946FC"/>
    <w:rsid w:val="5DA35523"/>
    <w:rsid w:val="5DFD2BBB"/>
    <w:rsid w:val="5E211941"/>
    <w:rsid w:val="5E8C7895"/>
    <w:rsid w:val="5E9A1E1F"/>
    <w:rsid w:val="5ED510A9"/>
    <w:rsid w:val="5F0B6879"/>
    <w:rsid w:val="5F8E1258"/>
    <w:rsid w:val="5FF4730D"/>
    <w:rsid w:val="600A6B30"/>
    <w:rsid w:val="604A1623"/>
    <w:rsid w:val="60846FE5"/>
    <w:rsid w:val="60CB2763"/>
    <w:rsid w:val="61371BA7"/>
    <w:rsid w:val="619A3EE4"/>
    <w:rsid w:val="61D07906"/>
    <w:rsid w:val="621F43E9"/>
    <w:rsid w:val="62340D03"/>
    <w:rsid w:val="62595B4D"/>
    <w:rsid w:val="625C563D"/>
    <w:rsid w:val="626D33A6"/>
    <w:rsid w:val="62744735"/>
    <w:rsid w:val="62774225"/>
    <w:rsid w:val="629628FD"/>
    <w:rsid w:val="62BC7E8A"/>
    <w:rsid w:val="62CA6A4B"/>
    <w:rsid w:val="631853C6"/>
    <w:rsid w:val="63A31776"/>
    <w:rsid w:val="63B23767"/>
    <w:rsid w:val="63BB3950"/>
    <w:rsid w:val="63D538F9"/>
    <w:rsid w:val="63ED29F1"/>
    <w:rsid w:val="640D6BEF"/>
    <w:rsid w:val="644A1BF1"/>
    <w:rsid w:val="6454481E"/>
    <w:rsid w:val="64610CE9"/>
    <w:rsid w:val="6535464F"/>
    <w:rsid w:val="65764C68"/>
    <w:rsid w:val="65DD0843"/>
    <w:rsid w:val="66552ACF"/>
    <w:rsid w:val="666B3930"/>
    <w:rsid w:val="66B141AA"/>
    <w:rsid w:val="66E520A5"/>
    <w:rsid w:val="66E75E1D"/>
    <w:rsid w:val="673B1CC5"/>
    <w:rsid w:val="674A1F08"/>
    <w:rsid w:val="67576CE8"/>
    <w:rsid w:val="676236F6"/>
    <w:rsid w:val="676F7BC1"/>
    <w:rsid w:val="67803B7C"/>
    <w:rsid w:val="67876CB8"/>
    <w:rsid w:val="67BA0E3C"/>
    <w:rsid w:val="67FF2CF3"/>
    <w:rsid w:val="68106CAE"/>
    <w:rsid w:val="6844104D"/>
    <w:rsid w:val="68751207"/>
    <w:rsid w:val="68A613C0"/>
    <w:rsid w:val="68BE2BAE"/>
    <w:rsid w:val="68CB0E27"/>
    <w:rsid w:val="68E1064A"/>
    <w:rsid w:val="68FE2FAA"/>
    <w:rsid w:val="698E2580"/>
    <w:rsid w:val="6A5C61DA"/>
    <w:rsid w:val="6A75479C"/>
    <w:rsid w:val="6A8B63AC"/>
    <w:rsid w:val="6A995680"/>
    <w:rsid w:val="6AA14535"/>
    <w:rsid w:val="6AC76609"/>
    <w:rsid w:val="6B07083C"/>
    <w:rsid w:val="6B1765A5"/>
    <w:rsid w:val="6B454EC0"/>
    <w:rsid w:val="6BD821D8"/>
    <w:rsid w:val="6BF07522"/>
    <w:rsid w:val="6CA976D1"/>
    <w:rsid w:val="6CB542C8"/>
    <w:rsid w:val="6DB85E1E"/>
    <w:rsid w:val="6DC02F24"/>
    <w:rsid w:val="6DCF34E6"/>
    <w:rsid w:val="6DFD5F26"/>
    <w:rsid w:val="6E146DCC"/>
    <w:rsid w:val="6E2A4841"/>
    <w:rsid w:val="6E2C2368"/>
    <w:rsid w:val="6E4C0C5C"/>
    <w:rsid w:val="6EE830F3"/>
    <w:rsid w:val="6F1A48B6"/>
    <w:rsid w:val="6F1C23DC"/>
    <w:rsid w:val="6F9E1043"/>
    <w:rsid w:val="6FD35191"/>
    <w:rsid w:val="701E2184"/>
    <w:rsid w:val="701F03D6"/>
    <w:rsid w:val="703F45D4"/>
    <w:rsid w:val="70875F7B"/>
    <w:rsid w:val="709C1A26"/>
    <w:rsid w:val="70E61A3D"/>
    <w:rsid w:val="712B2DAA"/>
    <w:rsid w:val="713C4FB8"/>
    <w:rsid w:val="71502811"/>
    <w:rsid w:val="719B6F38"/>
    <w:rsid w:val="71A36DE5"/>
    <w:rsid w:val="71BC3A02"/>
    <w:rsid w:val="72084E9A"/>
    <w:rsid w:val="720A29C0"/>
    <w:rsid w:val="720C498A"/>
    <w:rsid w:val="726A7902"/>
    <w:rsid w:val="72D74F98"/>
    <w:rsid w:val="73610D05"/>
    <w:rsid w:val="736D2F64"/>
    <w:rsid w:val="73A23ACD"/>
    <w:rsid w:val="73E57241"/>
    <w:rsid w:val="73E93DBF"/>
    <w:rsid w:val="747868AB"/>
    <w:rsid w:val="74B530B7"/>
    <w:rsid w:val="74CE23CA"/>
    <w:rsid w:val="74D26EE6"/>
    <w:rsid w:val="756B7C19"/>
    <w:rsid w:val="757C1E26"/>
    <w:rsid w:val="75B07D22"/>
    <w:rsid w:val="75CB73D9"/>
    <w:rsid w:val="75D0694D"/>
    <w:rsid w:val="75EF084A"/>
    <w:rsid w:val="761262E7"/>
    <w:rsid w:val="761E1CCC"/>
    <w:rsid w:val="76213440"/>
    <w:rsid w:val="7630676D"/>
    <w:rsid w:val="76516E0F"/>
    <w:rsid w:val="765B1A3C"/>
    <w:rsid w:val="76A333E3"/>
    <w:rsid w:val="76A50F09"/>
    <w:rsid w:val="76E2215D"/>
    <w:rsid w:val="77752FD1"/>
    <w:rsid w:val="77A94A29"/>
    <w:rsid w:val="77FF289B"/>
    <w:rsid w:val="77FF686B"/>
    <w:rsid w:val="78E75809"/>
    <w:rsid w:val="78EA70A7"/>
    <w:rsid w:val="7927654D"/>
    <w:rsid w:val="79674B9C"/>
    <w:rsid w:val="797A48CF"/>
    <w:rsid w:val="79A951B4"/>
    <w:rsid w:val="79C0191C"/>
    <w:rsid w:val="7A2D1941"/>
    <w:rsid w:val="7A8142F4"/>
    <w:rsid w:val="7B446F42"/>
    <w:rsid w:val="7B5B24DE"/>
    <w:rsid w:val="7B694BFB"/>
    <w:rsid w:val="7B9003DA"/>
    <w:rsid w:val="7BDC361F"/>
    <w:rsid w:val="7BE91898"/>
    <w:rsid w:val="7BF2699E"/>
    <w:rsid w:val="7C240B22"/>
    <w:rsid w:val="7CA103C5"/>
    <w:rsid w:val="7CCD740C"/>
    <w:rsid w:val="7CFE5817"/>
    <w:rsid w:val="7D944D3F"/>
    <w:rsid w:val="7DB777F9"/>
    <w:rsid w:val="7E094473"/>
    <w:rsid w:val="7E413C0D"/>
    <w:rsid w:val="7E4E00D8"/>
    <w:rsid w:val="7E906943"/>
    <w:rsid w:val="7EC16AFC"/>
    <w:rsid w:val="7EC6376D"/>
    <w:rsid w:val="7EE14014"/>
    <w:rsid w:val="7F5636E8"/>
    <w:rsid w:val="7F741DC0"/>
    <w:rsid w:val="7FE26D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78"/>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7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80"/>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8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8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8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84"/>
    <w:unhideWhenUsed/>
    <w:qFormat/>
    <w:uiPriority w:val="9"/>
    <w:pPr>
      <w:keepNext/>
      <w:keepLines/>
      <w:spacing w:before="320" w:after="200"/>
      <w:outlineLvl w:val="8"/>
    </w:pPr>
    <w:rPr>
      <w:rFonts w:ascii="Arial" w:hAnsi="Arial" w:eastAsia="Arial" w:cs="Arial"/>
      <w:i/>
      <w:iCs/>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3">
    <w:name w:val="annotation text"/>
    <w:basedOn w:val="1"/>
    <w:qFormat/>
    <w:uiPriority w:val="0"/>
    <w:pPr>
      <w:jc w:val="left"/>
    </w:pPr>
  </w:style>
  <w:style w:type="paragraph" w:styleId="14">
    <w:name w:val="Body Text"/>
    <w:basedOn w:val="1"/>
    <w:qFormat/>
    <w:uiPriority w:val="0"/>
    <w:rPr>
      <w:rFonts w:ascii="仿宋_GB2312" w:eastAsia="仿宋_GB2312"/>
      <w:sz w:val="28"/>
      <w:szCs w:val="20"/>
    </w:rPr>
  </w:style>
  <w:style w:type="paragraph" w:styleId="15">
    <w:name w:val="Body Text Indent"/>
    <w:basedOn w:val="1"/>
    <w:qFormat/>
    <w:uiPriority w:val="0"/>
    <w:pPr>
      <w:spacing w:after="120"/>
      <w:ind w:left="420"/>
    </w:pPr>
  </w:style>
  <w:style w:type="paragraph" w:styleId="16">
    <w:name w:val="index 4"/>
    <w:basedOn w:val="1"/>
    <w:next w:val="1"/>
    <w:qFormat/>
    <w:uiPriority w:val="99"/>
    <w:pPr>
      <w:ind w:left="600"/>
    </w:pPr>
    <w:rPr>
      <w:szCs w:val="24"/>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toc 8"/>
    <w:basedOn w:val="1"/>
    <w:next w:val="1"/>
    <w:unhideWhenUsed/>
    <w:qFormat/>
    <w:uiPriority w:val="39"/>
    <w:pPr>
      <w:spacing w:after="57"/>
      <w:ind w:left="1984"/>
    </w:pPr>
  </w:style>
  <w:style w:type="paragraph" w:styleId="20">
    <w:name w:val="endnote text"/>
    <w:basedOn w:val="1"/>
    <w:link w:val="222"/>
    <w:semiHidden/>
    <w:unhideWhenUsed/>
    <w:qFormat/>
    <w:uiPriority w:val="99"/>
    <w:rPr>
      <w:sz w:val="20"/>
    </w:rPr>
  </w:style>
  <w:style w:type="paragraph" w:styleId="21">
    <w:name w:val="footer"/>
    <w:basedOn w:val="1"/>
    <w:link w:val="95"/>
    <w:unhideWhenUsed/>
    <w:qFormat/>
    <w:uiPriority w:val="99"/>
    <w:pPr>
      <w:tabs>
        <w:tab w:val="center" w:pos="7143"/>
        <w:tab w:val="right" w:pos="14287"/>
      </w:tabs>
    </w:pPr>
  </w:style>
  <w:style w:type="paragraph" w:styleId="22">
    <w:name w:val="header"/>
    <w:basedOn w:val="1"/>
    <w:link w:val="93"/>
    <w:unhideWhenUsed/>
    <w:qFormat/>
    <w:uiPriority w:val="99"/>
    <w:pPr>
      <w:tabs>
        <w:tab w:val="center" w:pos="7143"/>
        <w:tab w:val="right" w:pos="14287"/>
      </w:tabs>
    </w:pPr>
  </w:style>
  <w:style w:type="paragraph" w:styleId="23">
    <w:name w:val="toc 1"/>
    <w:basedOn w:val="1"/>
    <w:next w:val="1"/>
    <w:unhideWhenUsed/>
    <w:qFormat/>
    <w:uiPriority w:val="39"/>
    <w:pPr>
      <w:spacing w:after="57"/>
    </w:pPr>
  </w:style>
  <w:style w:type="paragraph" w:styleId="24">
    <w:name w:val="toc 4"/>
    <w:basedOn w:val="1"/>
    <w:next w:val="1"/>
    <w:unhideWhenUsed/>
    <w:qFormat/>
    <w:uiPriority w:val="39"/>
    <w:pPr>
      <w:spacing w:after="57"/>
      <w:ind w:left="850"/>
    </w:pPr>
  </w:style>
  <w:style w:type="paragraph" w:styleId="25">
    <w:name w:val="Subtitle"/>
    <w:basedOn w:val="1"/>
    <w:next w:val="1"/>
    <w:link w:val="88"/>
    <w:qFormat/>
    <w:uiPriority w:val="11"/>
    <w:pPr>
      <w:spacing w:before="200" w:after="200"/>
    </w:pPr>
    <w:rPr>
      <w:sz w:val="24"/>
    </w:rPr>
  </w:style>
  <w:style w:type="paragraph" w:styleId="26">
    <w:name w:val="List"/>
    <w:basedOn w:val="1"/>
    <w:qFormat/>
    <w:uiPriority w:val="0"/>
    <w:pPr>
      <w:numPr>
        <w:ilvl w:val="0"/>
        <w:numId w:val="1"/>
      </w:numPr>
      <w:spacing w:after="20" w:line="288" w:lineRule="auto"/>
    </w:pPr>
    <w:rPr>
      <w:szCs w:val="20"/>
      <w:lang w:val="en-GB"/>
    </w:rPr>
  </w:style>
  <w:style w:type="paragraph" w:styleId="27">
    <w:name w:val="footnote text"/>
    <w:basedOn w:val="1"/>
    <w:link w:val="221"/>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Title"/>
    <w:basedOn w:val="1"/>
    <w:next w:val="1"/>
    <w:link w:val="87"/>
    <w:qFormat/>
    <w:uiPriority w:val="10"/>
    <w:pPr>
      <w:spacing w:before="300" w:after="200"/>
      <w:contextualSpacing/>
    </w:pPr>
    <w:rPr>
      <w:sz w:val="48"/>
      <w:szCs w:val="48"/>
    </w:rPr>
  </w:style>
  <w:style w:type="paragraph" w:styleId="33">
    <w:name w:val="Body Text First Indent 2"/>
    <w:basedOn w:val="15"/>
    <w:qFormat/>
    <w:uiPriority w:val="0"/>
    <w:pPr>
      <w:tabs>
        <w:tab w:val="left" w:pos="9000"/>
      </w:tabs>
      <w:ind w:firstLine="640"/>
    </w:pPr>
    <w:rPr>
      <w:rFonts w:ascii="宋体" w:hAnsi="宋体"/>
      <w:sz w:val="30"/>
      <w:szCs w:val="30"/>
    </w:rPr>
  </w:style>
  <w:style w:type="table" w:styleId="35">
    <w:name w:val="Table Grid"/>
    <w:basedOn w:val="3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7">
    <w:name w:val="endnote reference"/>
    <w:basedOn w:val="36"/>
    <w:semiHidden/>
    <w:unhideWhenUsed/>
    <w:qFormat/>
    <w:uiPriority w:val="99"/>
    <w:rPr>
      <w:vertAlign w:val="superscript"/>
    </w:rPr>
  </w:style>
  <w:style w:type="character" w:styleId="38">
    <w:name w:val="Hyperlink"/>
    <w:unhideWhenUsed/>
    <w:qFormat/>
    <w:uiPriority w:val="99"/>
    <w:rPr>
      <w:color w:val="0563C1" w:themeColor="hyperlink"/>
      <w:u w:val="single"/>
      <w14:textFill>
        <w14:solidFill>
          <w14:schemeClr w14:val="hlink"/>
        </w14:solidFill>
      </w14:textFill>
    </w:rPr>
  </w:style>
  <w:style w:type="character" w:styleId="39">
    <w:name w:val="footnote reference"/>
    <w:basedOn w:val="36"/>
    <w:unhideWhenUsed/>
    <w:qFormat/>
    <w:uiPriority w:val="99"/>
    <w:rPr>
      <w:vertAlign w:val="superscript"/>
    </w:rPr>
  </w:style>
  <w:style w:type="paragraph" w:customStyle="1" w:styleId="40">
    <w:name w:val="标题 411"/>
    <w:basedOn w:val="1"/>
    <w:next w:val="1"/>
    <w:unhideWhenUsed/>
    <w:qFormat/>
    <w:uiPriority w:val="9"/>
    <w:pPr>
      <w:keepNext/>
      <w:keepLines/>
      <w:spacing w:before="320" w:after="200"/>
      <w:outlineLvl w:val="3"/>
    </w:pPr>
    <w:rPr>
      <w:rFonts w:ascii="Arial" w:hAnsi="Arial" w:eastAsia="Arial" w:cs="Arial"/>
      <w:b/>
      <w:bCs/>
      <w:sz w:val="26"/>
      <w:szCs w:val="26"/>
    </w:rPr>
  </w:style>
  <w:style w:type="character" w:customStyle="1" w:styleId="41">
    <w:name w:val="Heading 3 Char"/>
    <w:basedOn w:val="36"/>
    <w:qFormat/>
    <w:uiPriority w:val="9"/>
    <w:rPr>
      <w:rFonts w:ascii="Arial" w:hAnsi="Arial" w:eastAsia="Arial" w:cs="Arial"/>
      <w:sz w:val="30"/>
      <w:szCs w:val="30"/>
    </w:rPr>
  </w:style>
  <w:style w:type="character" w:customStyle="1" w:styleId="42">
    <w:name w:val="Heading 4 Char"/>
    <w:basedOn w:val="36"/>
    <w:qFormat/>
    <w:uiPriority w:val="9"/>
    <w:rPr>
      <w:rFonts w:ascii="Arial" w:hAnsi="Arial" w:eastAsia="Arial" w:cs="Arial"/>
      <w:b/>
      <w:bCs/>
      <w:sz w:val="26"/>
      <w:szCs w:val="26"/>
    </w:rPr>
  </w:style>
  <w:style w:type="character" w:customStyle="1" w:styleId="43">
    <w:name w:val="Heading 5 Char"/>
    <w:basedOn w:val="36"/>
    <w:qFormat/>
    <w:uiPriority w:val="9"/>
    <w:rPr>
      <w:rFonts w:ascii="Arial" w:hAnsi="Arial" w:eastAsia="Arial" w:cs="Arial"/>
      <w:b/>
      <w:bCs/>
      <w:sz w:val="24"/>
      <w:szCs w:val="24"/>
    </w:rPr>
  </w:style>
  <w:style w:type="character" w:customStyle="1" w:styleId="44">
    <w:name w:val="Heading 6 Char"/>
    <w:basedOn w:val="36"/>
    <w:qFormat/>
    <w:uiPriority w:val="9"/>
    <w:rPr>
      <w:rFonts w:ascii="Arial" w:hAnsi="Arial" w:eastAsia="Arial" w:cs="Arial"/>
      <w:b/>
      <w:bCs/>
      <w:sz w:val="22"/>
      <w:szCs w:val="22"/>
    </w:rPr>
  </w:style>
  <w:style w:type="character" w:customStyle="1" w:styleId="45">
    <w:name w:val="Heading 7 Char"/>
    <w:basedOn w:val="36"/>
    <w:qFormat/>
    <w:uiPriority w:val="9"/>
    <w:rPr>
      <w:rFonts w:ascii="Arial" w:hAnsi="Arial" w:eastAsia="Arial" w:cs="Arial"/>
      <w:b/>
      <w:bCs/>
      <w:i/>
      <w:iCs/>
      <w:sz w:val="22"/>
      <w:szCs w:val="22"/>
    </w:rPr>
  </w:style>
  <w:style w:type="character" w:customStyle="1" w:styleId="46">
    <w:name w:val="Heading 8 Char"/>
    <w:basedOn w:val="36"/>
    <w:qFormat/>
    <w:uiPriority w:val="9"/>
    <w:rPr>
      <w:rFonts w:ascii="Arial" w:hAnsi="Arial" w:eastAsia="Arial" w:cs="Arial"/>
      <w:i/>
      <w:iCs/>
      <w:sz w:val="22"/>
      <w:szCs w:val="22"/>
    </w:rPr>
  </w:style>
  <w:style w:type="character" w:customStyle="1" w:styleId="47">
    <w:name w:val="Heading 9 Char"/>
    <w:basedOn w:val="36"/>
    <w:qFormat/>
    <w:uiPriority w:val="9"/>
    <w:rPr>
      <w:rFonts w:ascii="Arial" w:hAnsi="Arial" w:eastAsia="Arial" w:cs="Arial"/>
      <w:i/>
      <w:iCs/>
      <w:sz w:val="21"/>
      <w:szCs w:val="21"/>
    </w:rPr>
  </w:style>
  <w:style w:type="character" w:customStyle="1" w:styleId="48">
    <w:name w:val="Title Char"/>
    <w:basedOn w:val="36"/>
    <w:qFormat/>
    <w:uiPriority w:val="10"/>
    <w:rPr>
      <w:sz w:val="48"/>
      <w:szCs w:val="48"/>
    </w:rPr>
  </w:style>
  <w:style w:type="character" w:customStyle="1" w:styleId="49">
    <w:name w:val="Subtitle Char"/>
    <w:basedOn w:val="36"/>
    <w:qFormat/>
    <w:uiPriority w:val="11"/>
    <w:rPr>
      <w:sz w:val="24"/>
      <w:szCs w:val="24"/>
    </w:rPr>
  </w:style>
  <w:style w:type="character" w:customStyle="1" w:styleId="50">
    <w:name w:val="Quote Char"/>
    <w:qFormat/>
    <w:uiPriority w:val="29"/>
    <w:rPr>
      <w:i/>
    </w:rPr>
  </w:style>
  <w:style w:type="character" w:customStyle="1" w:styleId="51">
    <w:name w:val="Intense Quote Char"/>
    <w:qFormat/>
    <w:uiPriority w:val="30"/>
    <w:rPr>
      <w:i/>
    </w:rPr>
  </w:style>
  <w:style w:type="character" w:customStyle="1" w:styleId="52">
    <w:name w:val="Header Char"/>
    <w:basedOn w:val="36"/>
    <w:qFormat/>
    <w:uiPriority w:val="99"/>
  </w:style>
  <w:style w:type="character" w:customStyle="1" w:styleId="53">
    <w:name w:val="Caption Char"/>
    <w:qFormat/>
    <w:uiPriority w:val="99"/>
  </w:style>
  <w:style w:type="table" w:customStyle="1" w:styleId="54">
    <w:name w:val="Plain Table 1"/>
    <w:basedOn w:val="3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5">
    <w:name w:val="Plain Table 2"/>
    <w:basedOn w:val="34"/>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6">
    <w:name w:val="Plain Table 3"/>
    <w:basedOn w:val="34"/>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Plain Table 4"/>
    <w:basedOn w:val="3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5"/>
    <w:basedOn w:val="34"/>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Grid Table 1 Light"/>
    <w:basedOn w:val="3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0">
    <w:name w:val="Grid Table 2"/>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1">
    <w:name w:val="Grid Table 3"/>
    <w:basedOn w:val="3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2">
    <w:name w:val="Grid Table 4"/>
    <w:basedOn w:val="3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3">
    <w:name w:val="Grid Table 5 Dark"/>
    <w:basedOn w:val="3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4">
    <w:name w:val="Grid Table 6 Colorful"/>
    <w:basedOn w:val="3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5">
    <w:name w:val="Grid Table 7 Colorful"/>
    <w:basedOn w:val="34"/>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6">
    <w:name w:val="List Table 1 Light"/>
    <w:basedOn w:val="34"/>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7">
    <w:name w:val="List Table 2"/>
    <w:basedOn w:val="34"/>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8">
    <w:name w:val="List Table 3"/>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9">
    <w:name w:val="List Table 4"/>
    <w:basedOn w:val="3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0">
    <w:name w:val="List Table 5 Dark"/>
    <w:basedOn w:val="34"/>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1">
    <w:name w:val="List Table 6 Colorful"/>
    <w:basedOn w:val="34"/>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2">
    <w:name w:val="List Table 7 Colorful"/>
    <w:basedOn w:val="34"/>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3">
    <w:name w:val="Footnote Text Char"/>
    <w:qFormat/>
    <w:uiPriority w:val="99"/>
    <w:rPr>
      <w:sz w:val="18"/>
    </w:rPr>
  </w:style>
  <w:style w:type="character" w:customStyle="1" w:styleId="74">
    <w:name w:val="Endnote Text Char"/>
    <w:qFormat/>
    <w:uiPriority w:val="99"/>
    <w:rPr>
      <w:sz w:val="20"/>
    </w:rPr>
  </w:style>
  <w:style w:type="paragraph" w:customStyle="1" w:styleId="75">
    <w:name w:val="TOC Heading"/>
    <w:unhideWhenUsed/>
    <w:qFormat/>
    <w:uiPriority w:val="39"/>
    <w:rPr>
      <w:rFonts w:hint="default" w:asciiTheme="minorHAnsi" w:hAnsiTheme="minorHAnsi" w:eastAsiaTheme="minorEastAsia" w:cstheme="minorBidi"/>
    </w:rPr>
  </w:style>
  <w:style w:type="character" w:customStyle="1" w:styleId="76">
    <w:name w:val="Heading 1 Char"/>
    <w:basedOn w:val="36"/>
    <w:qFormat/>
    <w:uiPriority w:val="9"/>
    <w:rPr>
      <w:rFonts w:ascii="Arial" w:hAnsi="Arial" w:eastAsia="Arial" w:cs="Arial"/>
      <w:sz w:val="40"/>
      <w:szCs w:val="40"/>
    </w:rPr>
  </w:style>
  <w:style w:type="character" w:customStyle="1" w:styleId="77">
    <w:name w:val="Heading 2 Char"/>
    <w:basedOn w:val="36"/>
    <w:qFormat/>
    <w:uiPriority w:val="9"/>
    <w:rPr>
      <w:rFonts w:ascii="Arial" w:hAnsi="Arial" w:eastAsia="Arial" w:cs="Arial"/>
      <w:sz w:val="34"/>
    </w:rPr>
  </w:style>
  <w:style w:type="character" w:customStyle="1" w:styleId="78">
    <w:name w:val="标题 3 字符"/>
    <w:basedOn w:val="36"/>
    <w:link w:val="4"/>
    <w:qFormat/>
    <w:uiPriority w:val="9"/>
    <w:rPr>
      <w:rFonts w:ascii="Arial" w:hAnsi="Arial" w:eastAsia="Arial" w:cs="Arial"/>
      <w:sz w:val="30"/>
      <w:szCs w:val="30"/>
    </w:rPr>
  </w:style>
  <w:style w:type="character" w:customStyle="1" w:styleId="79">
    <w:name w:val="标题 4 字符"/>
    <w:basedOn w:val="36"/>
    <w:link w:val="5"/>
    <w:qFormat/>
    <w:uiPriority w:val="9"/>
    <w:rPr>
      <w:rFonts w:ascii="Arial" w:hAnsi="Arial" w:eastAsia="Arial" w:cs="Arial"/>
      <w:b/>
      <w:bCs/>
      <w:sz w:val="26"/>
      <w:szCs w:val="26"/>
    </w:rPr>
  </w:style>
  <w:style w:type="character" w:customStyle="1" w:styleId="80">
    <w:name w:val="标题 5 字符"/>
    <w:basedOn w:val="36"/>
    <w:link w:val="6"/>
    <w:qFormat/>
    <w:uiPriority w:val="9"/>
    <w:rPr>
      <w:rFonts w:ascii="Arial" w:hAnsi="Arial" w:eastAsia="Arial" w:cs="Arial"/>
      <w:b/>
      <w:bCs/>
      <w:sz w:val="24"/>
      <w:szCs w:val="24"/>
    </w:rPr>
  </w:style>
  <w:style w:type="character" w:customStyle="1" w:styleId="81">
    <w:name w:val="标题 6 字符"/>
    <w:basedOn w:val="36"/>
    <w:link w:val="7"/>
    <w:qFormat/>
    <w:uiPriority w:val="9"/>
    <w:rPr>
      <w:rFonts w:ascii="Arial" w:hAnsi="Arial" w:eastAsia="Arial" w:cs="Arial"/>
      <w:b/>
      <w:bCs/>
      <w:sz w:val="22"/>
      <w:szCs w:val="22"/>
    </w:rPr>
  </w:style>
  <w:style w:type="character" w:customStyle="1" w:styleId="82">
    <w:name w:val="标题 7 字符"/>
    <w:basedOn w:val="36"/>
    <w:link w:val="8"/>
    <w:qFormat/>
    <w:uiPriority w:val="9"/>
    <w:rPr>
      <w:rFonts w:ascii="Arial" w:hAnsi="Arial" w:eastAsia="Arial" w:cs="Arial"/>
      <w:b/>
      <w:bCs/>
      <w:i/>
      <w:iCs/>
      <w:sz w:val="22"/>
      <w:szCs w:val="22"/>
    </w:rPr>
  </w:style>
  <w:style w:type="character" w:customStyle="1" w:styleId="83">
    <w:name w:val="标题 8 字符"/>
    <w:basedOn w:val="36"/>
    <w:link w:val="9"/>
    <w:qFormat/>
    <w:uiPriority w:val="9"/>
    <w:rPr>
      <w:rFonts w:ascii="Arial" w:hAnsi="Arial" w:eastAsia="Arial" w:cs="Arial"/>
      <w:i/>
      <w:iCs/>
      <w:sz w:val="22"/>
      <w:szCs w:val="22"/>
    </w:rPr>
  </w:style>
  <w:style w:type="character" w:customStyle="1" w:styleId="84">
    <w:name w:val="标题 9 字符"/>
    <w:basedOn w:val="36"/>
    <w:link w:val="10"/>
    <w:qFormat/>
    <w:uiPriority w:val="9"/>
    <w:rPr>
      <w:rFonts w:ascii="Arial" w:hAnsi="Arial" w:eastAsia="Arial" w:cs="Arial"/>
      <w:i/>
      <w:iCs/>
      <w:sz w:val="21"/>
      <w:szCs w:val="21"/>
    </w:rPr>
  </w:style>
  <w:style w:type="paragraph" w:styleId="85">
    <w:name w:val="List Paragraph"/>
    <w:basedOn w:val="1"/>
    <w:qFormat/>
    <w:uiPriority w:val="34"/>
    <w:pPr>
      <w:ind w:left="720"/>
      <w:contextualSpacing/>
    </w:pPr>
  </w:style>
  <w:style w:type="paragraph" w:styleId="86">
    <w:name w:val="No Spacing"/>
    <w:qFormat/>
    <w:uiPriority w:val="1"/>
    <w:rPr>
      <w:rFonts w:hint="default" w:asciiTheme="minorHAnsi" w:hAnsiTheme="minorHAnsi" w:eastAsiaTheme="minorEastAsia" w:cstheme="minorBidi"/>
      <w:lang w:val="en-US" w:eastAsia="zh-CN" w:bidi="ar-SA"/>
    </w:rPr>
  </w:style>
  <w:style w:type="character" w:customStyle="1" w:styleId="87">
    <w:name w:val="标题 字符"/>
    <w:basedOn w:val="36"/>
    <w:link w:val="32"/>
    <w:qFormat/>
    <w:uiPriority w:val="10"/>
    <w:rPr>
      <w:sz w:val="48"/>
      <w:szCs w:val="48"/>
    </w:rPr>
  </w:style>
  <w:style w:type="character" w:customStyle="1" w:styleId="88">
    <w:name w:val="副标题 字符"/>
    <w:basedOn w:val="36"/>
    <w:link w:val="25"/>
    <w:qFormat/>
    <w:uiPriority w:val="11"/>
    <w:rPr>
      <w:sz w:val="24"/>
      <w:szCs w:val="24"/>
    </w:rPr>
  </w:style>
  <w:style w:type="paragraph" w:styleId="89">
    <w:name w:val="Quote"/>
    <w:basedOn w:val="1"/>
    <w:next w:val="1"/>
    <w:link w:val="90"/>
    <w:qFormat/>
    <w:uiPriority w:val="29"/>
    <w:pPr>
      <w:ind w:left="720" w:right="720"/>
    </w:pPr>
    <w:rPr>
      <w:i/>
    </w:rPr>
  </w:style>
  <w:style w:type="character" w:customStyle="1" w:styleId="90">
    <w:name w:val="引用 字符"/>
    <w:link w:val="89"/>
    <w:qFormat/>
    <w:uiPriority w:val="29"/>
    <w:rPr>
      <w:i/>
    </w:rPr>
  </w:style>
  <w:style w:type="paragraph" w:styleId="91">
    <w:name w:val="Intense Quote"/>
    <w:basedOn w:val="1"/>
    <w:next w:val="1"/>
    <w:link w:val="9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2">
    <w:name w:val="明显引用 字符"/>
    <w:link w:val="91"/>
    <w:qFormat/>
    <w:uiPriority w:val="30"/>
    <w:rPr>
      <w:i/>
    </w:rPr>
  </w:style>
  <w:style w:type="character" w:customStyle="1" w:styleId="93">
    <w:name w:val="页眉 字符"/>
    <w:basedOn w:val="36"/>
    <w:link w:val="22"/>
    <w:qFormat/>
    <w:uiPriority w:val="99"/>
  </w:style>
  <w:style w:type="character" w:customStyle="1" w:styleId="94">
    <w:name w:val="Footer Char"/>
    <w:basedOn w:val="36"/>
    <w:qFormat/>
    <w:uiPriority w:val="99"/>
  </w:style>
  <w:style w:type="character" w:customStyle="1" w:styleId="95">
    <w:name w:val="页脚 字符"/>
    <w:link w:val="21"/>
    <w:qFormat/>
    <w:uiPriority w:val="99"/>
  </w:style>
  <w:style w:type="table" w:customStyle="1" w:styleId="96">
    <w:name w:val="Table Grid Light"/>
    <w:basedOn w:val="3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97">
    <w:name w:val="无格式表格 11"/>
    <w:basedOn w:val="3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8">
    <w:name w:val="无格式表格 21"/>
    <w:basedOn w:val="34"/>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9">
    <w:name w:val="无格式表格 31"/>
    <w:basedOn w:val="34"/>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0">
    <w:name w:val="无格式表格 41"/>
    <w:basedOn w:val="34"/>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1">
    <w:name w:val="无格式表格 51"/>
    <w:basedOn w:val="34"/>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2">
    <w:name w:val="网格表 1 浅色1"/>
    <w:basedOn w:val="34"/>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3">
    <w:name w:val="Grid Table 1 Light - Accent 1"/>
    <w:basedOn w:val="34"/>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04">
    <w:name w:val="Grid Table 1 Light - Accent 2"/>
    <w:basedOn w:val="34"/>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05">
    <w:name w:val="Grid Table 1 Light - Accent 3"/>
    <w:basedOn w:val="34"/>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06">
    <w:name w:val="Grid Table 1 Light - Accent 4"/>
    <w:basedOn w:val="34"/>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07">
    <w:name w:val="Grid Table 1 Light - Accent 5"/>
    <w:basedOn w:val="34"/>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08">
    <w:name w:val="Grid Table 1 Light - Accent 6"/>
    <w:basedOn w:val="34"/>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09">
    <w:name w:val="网格表 21"/>
    <w:basedOn w:val="3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0">
    <w:name w:val="Grid Table 2 - Accent 1"/>
    <w:basedOn w:val="34"/>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11">
    <w:name w:val="Grid Table 2 - Accent 2"/>
    <w:basedOn w:val="34"/>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2">
    <w:name w:val="Grid Table 2 - Accent 3"/>
    <w:basedOn w:val="34"/>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3">
    <w:name w:val="Grid Table 2 - Accent 4"/>
    <w:basedOn w:val="34"/>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4">
    <w:name w:val="Grid Table 2 - Accent 5"/>
    <w:basedOn w:val="34"/>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15">
    <w:name w:val="Grid Table 2 - Accent 6"/>
    <w:basedOn w:val="34"/>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6">
    <w:name w:val="网格表 31"/>
    <w:basedOn w:val="3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7">
    <w:name w:val="Grid Table 3 - Accent 1"/>
    <w:basedOn w:val="34"/>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18">
    <w:name w:val="Grid Table 3 - Accent 2"/>
    <w:basedOn w:val="34"/>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9">
    <w:name w:val="Grid Table 3 - Accent 3"/>
    <w:basedOn w:val="34"/>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0">
    <w:name w:val="Grid Table 3 - Accent 4"/>
    <w:basedOn w:val="34"/>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1">
    <w:name w:val="Grid Table 3 - Accent 5"/>
    <w:basedOn w:val="34"/>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22">
    <w:name w:val="Grid Table 3 - Accent 6"/>
    <w:basedOn w:val="34"/>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3">
    <w:name w:val="网格表 41"/>
    <w:basedOn w:val="3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4">
    <w:name w:val="Grid Table 4 - Accent 1"/>
    <w:basedOn w:val="34"/>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25">
    <w:name w:val="Grid Table 4 - Accent 2"/>
    <w:basedOn w:val="34"/>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6">
    <w:name w:val="Grid Table 4 - Accent 3"/>
    <w:basedOn w:val="34"/>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7">
    <w:name w:val="Grid Table 4 - Accent 4"/>
    <w:basedOn w:val="34"/>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8">
    <w:name w:val="Grid Table 4 - Accent 5"/>
    <w:basedOn w:val="34"/>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29">
    <w:name w:val="Grid Table 4 - Accent 6"/>
    <w:basedOn w:val="34"/>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0">
    <w:name w:val="网格表 5 深色1"/>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1">
    <w:name w:val="Grid Table 5 Dark- Accent 1"/>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32">
    <w:name w:val="Grid Table 5 Dark - Accent 2"/>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33">
    <w:name w:val="Grid Table 5 Dark - Accent 3"/>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34">
    <w:name w:val="Grid Table 5 Dark- Accent 4"/>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35">
    <w:name w:val="Grid Table 5 Dark - Accent 5"/>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36">
    <w:name w:val="Grid Table 5 Dark - Accent 6"/>
    <w:basedOn w:val="3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37">
    <w:name w:val="网格表 6 彩色1"/>
    <w:basedOn w:val="34"/>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8">
    <w:name w:val="Grid Table 6 Colorful - Accent 1"/>
    <w:basedOn w:val="34"/>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39">
    <w:name w:val="Grid Table 6 Colorful - Accent 2"/>
    <w:basedOn w:val="34"/>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40">
    <w:name w:val="Grid Table 6 Colorful - Accent 3"/>
    <w:basedOn w:val="34"/>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41">
    <w:name w:val="Grid Table 6 Colorful - Accent 4"/>
    <w:basedOn w:val="34"/>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42">
    <w:name w:val="Grid Table 6 Colorful - Accent 5"/>
    <w:basedOn w:val="34"/>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43">
    <w:name w:val="Grid Table 6 Colorful - Accent 6"/>
    <w:basedOn w:val="34"/>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44">
    <w:name w:val="网格表 7 彩色1"/>
    <w:basedOn w:val="34"/>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5">
    <w:name w:val="Grid Table 7 Colorful - Accent 1"/>
    <w:basedOn w:val="34"/>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46">
    <w:name w:val="Grid Table 7 Colorful - Accent 2"/>
    <w:basedOn w:val="34"/>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47">
    <w:name w:val="Grid Table 7 Colorful - Accent 3"/>
    <w:basedOn w:val="34"/>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48">
    <w:name w:val="Grid Table 7 Colorful - Accent 4"/>
    <w:basedOn w:val="34"/>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49">
    <w:name w:val="Grid Table 7 Colorful - Accent 5"/>
    <w:basedOn w:val="34"/>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50">
    <w:name w:val="Grid Table 7 Colorful - Accent 6"/>
    <w:basedOn w:val="34"/>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51">
    <w:name w:val="清单表 1 浅色1"/>
    <w:basedOn w:val="34"/>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2">
    <w:name w:val="List Table 1 Light - Accent 1"/>
    <w:basedOn w:val="34"/>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53">
    <w:name w:val="List Table 1 Light - Accent 2"/>
    <w:basedOn w:val="34"/>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54">
    <w:name w:val="List Table 1 Light - Accent 3"/>
    <w:basedOn w:val="34"/>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55">
    <w:name w:val="List Table 1 Light - Accent 4"/>
    <w:basedOn w:val="34"/>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56">
    <w:name w:val="List Table 1 Light - Accent 5"/>
    <w:basedOn w:val="34"/>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57">
    <w:name w:val="List Table 1 Light - Accent 6"/>
    <w:basedOn w:val="34"/>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58">
    <w:name w:val="清单表 21"/>
    <w:basedOn w:val="34"/>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9">
    <w:name w:val="List Table 2 - Accent 1"/>
    <w:basedOn w:val="34"/>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60">
    <w:name w:val="List Table 2 - Accent 2"/>
    <w:basedOn w:val="34"/>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61">
    <w:name w:val="List Table 2 - Accent 3"/>
    <w:basedOn w:val="34"/>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62">
    <w:name w:val="List Table 2 - Accent 4"/>
    <w:basedOn w:val="34"/>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3">
    <w:name w:val="List Table 2 - Accent 5"/>
    <w:basedOn w:val="34"/>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64">
    <w:name w:val="List Table 2 - Accent 6"/>
    <w:basedOn w:val="34"/>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5">
    <w:name w:val="清单表 31"/>
    <w:basedOn w:val="3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6">
    <w:name w:val="List Table 3 - Accent 1"/>
    <w:basedOn w:val="34"/>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67">
    <w:name w:val="List Table 3 - Accent 2"/>
    <w:basedOn w:val="34"/>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68">
    <w:name w:val="List Table 3 - Accent 3"/>
    <w:basedOn w:val="34"/>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69">
    <w:name w:val="List Table 3 - Accent 4"/>
    <w:basedOn w:val="34"/>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70">
    <w:name w:val="List Table 3 - Accent 5"/>
    <w:basedOn w:val="34"/>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71">
    <w:name w:val="List Table 3 - Accent 6"/>
    <w:basedOn w:val="34"/>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72">
    <w:name w:val="清单表 41"/>
    <w:basedOn w:val="3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3">
    <w:name w:val="List Table 4 - Accent 1"/>
    <w:basedOn w:val="34"/>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74">
    <w:name w:val="List Table 4 - Accent 2"/>
    <w:basedOn w:val="34"/>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75">
    <w:name w:val="List Table 4 - Accent 3"/>
    <w:basedOn w:val="34"/>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6">
    <w:name w:val="List Table 4 - Accent 4"/>
    <w:basedOn w:val="34"/>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7">
    <w:name w:val="List Table 4 - Accent 5"/>
    <w:basedOn w:val="34"/>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78">
    <w:name w:val="List Table 4 - Accent 6"/>
    <w:basedOn w:val="34"/>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79">
    <w:name w:val="清单表 5 深色1"/>
    <w:basedOn w:val="34"/>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0">
    <w:name w:val="List Table 5 Dark - Accent 1"/>
    <w:basedOn w:val="34"/>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81">
    <w:name w:val="List Table 5 Dark - Accent 2"/>
    <w:basedOn w:val="34"/>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82">
    <w:name w:val="List Table 5 Dark - Accent 3"/>
    <w:basedOn w:val="34"/>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83">
    <w:name w:val="List Table 5 Dark - Accent 4"/>
    <w:basedOn w:val="34"/>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84">
    <w:name w:val="List Table 5 Dark - Accent 5"/>
    <w:basedOn w:val="34"/>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85">
    <w:name w:val="List Table 5 Dark - Accent 6"/>
    <w:basedOn w:val="34"/>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86">
    <w:name w:val="清单表 6 彩色1"/>
    <w:basedOn w:val="34"/>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7">
    <w:name w:val="List Table 6 Colorful - Accent 1"/>
    <w:basedOn w:val="34"/>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88">
    <w:name w:val="List Table 6 Colorful - Accent 2"/>
    <w:basedOn w:val="34"/>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89">
    <w:name w:val="List Table 6 Colorful - Accent 3"/>
    <w:basedOn w:val="34"/>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90">
    <w:name w:val="List Table 6 Colorful - Accent 4"/>
    <w:basedOn w:val="34"/>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91">
    <w:name w:val="List Table 6 Colorful - Accent 5"/>
    <w:basedOn w:val="34"/>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92">
    <w:name w:val="List Table 6 Colorful - Accent 6"/>
    <w:basedOn w:val="34"/>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93">
    <w:name w:val="清单表 7 彩色1"/>
    <w:basedOn w:val="34"/>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4">
    <w:name w:val="List Table 7 Colorful - Accent 1"/>
    <w:basedOn w:val="34"/>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95">
    <w:name w:val="List Table 7 Colorful - Accent 2"/>
    <w:basedOn w:val="34"/>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96">
    <w:name w:val="List Table 7 Colorful - Accent 3"/>
    <w:basedOn w:val="34"/>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97">
    <w:name w:val="List Table 7 Colorful - Accent 4"/>
    <w:basedOn w:val="34"/>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98">
    <w:name w:val="List Table 7 Colorful - Accent 5"/>
    <w:basedOn w:val="34"/>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99">
    <w:name w:val="List Table 7 Colorful - Accent 6"/>
    <w:basedOn w:val="34"/>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00">
    <w:name w:val="Lined - Accent"/>
    <w:basedOn w:val="34"/>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1">
    <w:name w:val="Lined - Accent 1"/>
    <w:basedOn w:val="34"/>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02">
    <w:name w:val="Lined - Accent 2"/>
    <w:basedOn w:val="34"/>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03">
    <w:name w:val="Lined - Accent 3"/>
    <w:basedOn w:val="34"/>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04">
    <w:name w:val="Lined - Accent 4"/>
    <w:basedOn w:val="34"/>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05">
    <w:name w:val="Lined - Accent 5"/>
    <w:basedOn w:val="34"/>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06">
    <w:name w:val="Lined - Accent 6"/>
    <w:basedOn w:val="34"/>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07">
    <w:name w:val="Bordered &amp; Lined - Accent"/>
    <w:basedOn w:val="34"/>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8">
    <w:name w:val="Bordered &amp; Lined - Accent 1"/>
    <w:basedOn w:val="34"/>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09">
    <w:name w:val="Bordered &amp; Lined - Accent 2"/>
    <w:basedOn w:val="34"/>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10">
    <w:name w:val="Bordered &amp; Lined - Accent 3"/>
    <w:basedOn w:val="34"/>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11">
    <w:name w:val="Bordered &amp; Lined - Accent 4"/>
    <w:basedOn w:val="34"/>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12">
    <w:name w:val="Bordered &amp; Lined - Accent 5"/>
    <w:basedOn w:val="34"/>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13">
    <w:name w:val="Bordered &amp; Lined - Accent 6"/>
    <w:basedOn w:val="34"/>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4">
    <w:name w:val="Bordered"/>
    <w:basedOn w:val="34"/>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5">
    <w:name w:val="Bordered - Accent 1"/>
    <w:basedOn w:val="34"/>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16">
    <w:name w:val="Bordered - Accent 2"/>
    <w:basedOn w:val="34"/>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17">
    <w:name w:val="Bordered - Accent 3"/>
    <w:basedOn w:val="34"/>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18">
    <w:name w:val="Bordered - Accent 4"/>
    <w:basedOn w:val="34"/>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19">
    <w:name w:val="Bordered - Accent 5"/>
    <w:basedOn w:val="34"/>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20">
    <w:name w:val="Bordered - Accent 6"/>
    <w:basedOn w:val="34"/>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21">
    <w:name w:val="脚注文本 字符"/>
    <w:link w:val="27"/>
    <w:qFormat/>
    <w:uiPriority w:val="99"/>
    <w:rPr>
      <w:sz w:val="18"/>
    </w:rPr>
  </w:style>
  <w:style w:type="character" w:customStyle="1" w:styleId="222">
    <w:name w:val="尾注文本 字符"/>
    <w:link w:val="20"/>
    <w:qFormat/>
    <w:uiPriority w:val="99"/>
    <w:rPr>
      <w:sz w:val="20"/>
    </w:rPr>
  </w:style>
  <w:style w:type="paragraph" w:customStyle="1" w:styleId="223">
    <w:name w:val="TOC 标题1"/>
    <w:unhideWhenUsed/>
    <w:qFormat/>
    <w:uiPriority w:val="39"/>
    <w:rPr>
      <w:rFonts w:hint="default" w:asciiTheme="minorHAnsi" w:hAnsiTheme="minorHAnsi" w:eastAsiaTheme="minorEastAsia" w:cstheme="minorBidi"/>
      <w:lang w:val="en-US" w:eastAsia="zh-CN" w:bidi="ar-SA"/>
    </w:rPr>
  </w:style>
  <w:style w:type="paragraph" w:customStyle="1" w:styleId="224">
    <w:name w:val="索引 41"/>
    <w:basedOn w:val="1"/>
    <w:next w:val="1"/>
    <w:qFormat/>
    <w:uiPriority w:val="0"/>
    <w:pPr>
      <w:ind w:left="600"/>
    </w:pPr>
    <w:rPr>
      <w:szCs w:val="20"/>
    </w:rPr>
  </w:style>
  <w:style w:type="character" w:customStyle="1" w:styleId="225">
    <w:name w:val="已访问的超链接1"/>
    <w:qFormat/>
    <w:uiPriority w:val="0"/>
    <w:rPr>
      <w:rFonts w:ascii="Times New Roman" w:hAnsi="Times New Roman" w:eastAsia="宋体" w:cs="Times New Roman"/>
      <w:color w:val="000000"/>
      <w:u w:val="none"/>
    </w:rPr>
  </w:style>
  <w:style w:type="paragraph" w:customStyle="1" w:styleId="226">
    <w:name w:val="普通文字"/>
    <w:basedOn w:val="1"/>
    <w:next w:val="1"/>
    <w:qFormat/>
    <w:uiPriority w:val="0"/>
    <w:rPr>
      <w:rFonts w:ascii="宋体"/>
      <w:sz w:val="24"/>
      <w:szCs w:val="20"/>
    </w:rPr>
  </w:style>
  <w:style w:type="paragraph" w:customStyle="1" w:styleId="227">
    <w:name w:val="正文文本11"/>
    <w:basedOn w:val="1"/>
    <w:next w:val="1"/>
    <w:qFormat/>
    <w:uiPriority w:val="0"/>
    <w:rPr>
      <w:rFonts w:ascii="仿宋_GB2312" w:eastAsia="仿宋_GB2312"/>
      <w:sz w:val="28"/>
      <w:szCs w:val="20"/>
      <w:lang w:eastAsia="en-US"/>
    </w:rPr>
  </w:style>
  <w:style w:type="paragraph" w:customStyle="1" w:styleId="228">
    <w:name w:val="纯文本11"/>
    <w:basedOn w:val="1"/>
    <w:qFormat/>
    <w:uiPriority w:val="0"/>
    <w:rPr>
      <w:rFonts w:ascii="宋体" w:hAnsi="Courier New"/>
      <w:szCs w:val="21"/>
      <w:lang w:eastAsia="en-US"/>
    </w:rPr>
  </w:style>
  <w:style w:type="paragraph" w:customStyle="1" w:styleId="229">
    <w:name w:val="标题 311"/>
    <w:basedOn w:val="1"/>
    <w:next w:val="230"/>
    <w:qFormat/>
    <w:uiPriority w:val="0"/>
    <w:pPr>
      <w:keepNext/>
      <w:keepLines/>
      <w:spacing w:before="260" w:after="260" w:line="416" w:lineRule="auto"/>
      <w:outlineLvl w:val="2"/>
    </w:pPr>
    <w:rPr>
      <w:rFonts w:ascii="黑体" w:eastAsia="黑体"/>
      <w:b/>
      <w:bCs/>
      <w:sz w:val="32"/>
      <w:szCs w:val="32"/>
    </w:rPr>
  </w:style>
  <w:style w:type="paragraph" w:customStyle="1" w:styleId="230">
    <w:name w:val="正文缩进1"/>
    <w:basedOn w:val="1"/>
    <w:next w:val="1"/>
    <w:qFormat/>
    <w:uiPriority w:val="0"/>
    <w:pPr>
      <w:widowControl/>
      <w:ind w:firstLine="420"/>
      <w:jc w:val="left"/>
    </w:pPr>
    <w:rPr>
      <w:sz w:val="20"/>
      <w:szCs w:val="20"/>
    </w:rPr>
  </w:style>
  <w:style w:type="paragraph" w:customStyle="1" w:styleId="231">
    <w:name w:val="文本块1"/>
    <w:basedOn w:val="1"/>
    <w:qFormat/>
    <w:uiPriority w:val="0"/>
    <w:pPr>
      <w:ind w:left="420" w:right="33"/>
      <w:jc w:val="left"/>
    </w:pPr>
    <w:rPr>
      <w:sz w:val="24"/>
      <w:szCs w:val="20"/>
    </w:rPr>
  </w:style>
  <w:style w:type="paragraph" w:customStyle="1" w:styleId="232">
    <w:name w:val="页眉11"/>
    <w:basedOn w:val="1"/>
    <w:qFormat/>
    <w:uiPriority w:val="99"/>
    <w:pPr>
      <w:pBdr>
        <w:bottom w:val="single" w:color="000000" w:sz="6" w:space="1"/>
      </w:pBdr>
      <w:tabs>
        <w:tab w:val="center" w:pos="4153"/>
        <w:tab w:val="right" w:pos="8306"/>
      </w:tabs>
      <w:jc w:val="center"/>
    </w:pPr>
    <w:rPr>
      <w:sz w:val="18"/>
      <w:szCs w:val="18"/>
      <w:lang w:eastAsia="en-US"/>
    </w:rPr>
  </w:style>
  <w:style w:type="paragraph" w:customStyle="1" w:styleId="233">
    <w:name w:val="页脚1"/>
    <w:basedOn w:val="1"/>
    <w:qFormat/>
    <w:uiPriority w:val="0"/>
    <w:pPr>
      <w:tabs>
        <w:tab w:val="center" w:pos="4153"/>
        <w:tab w:val="right" w:pos="8306"/>
      </w:tabs>
      <w:jc w:val="left"/>
    </w:pPr>
    <w:rPr>
      <w:sz w:val="18"/>
      <w:szCs w:val="18"/>
      <w:lang w:eastAsia="en-US"/>
    </w:rPr>
  </w:style>
  <w:style w:type="paragraph" w:customStyle="1" w:styleId="234">
    <w:name w:val="纯文本1"/>
    <w:basedOn w:val="1"/>
    <w:qFormat/>
    <w:uiPriority w:val="0"/>
    <w:rPr>
      <w:rFonts w:ascii="宋体" w:hAnsi="Courier New"/>
      <w:sz w:val="20"/>
      <w:lang w:eastAsia="en-US"/>
    </w:rPr>
  </w:style>
  <w:style w:type="paragraph" w:customStyle="1" w:styleId="235">
    <w:name w:val="_Style 19"/>
    <w:qFormat/>
    <w:uiPriority w:val="99"/>
    <w:pPr>
      <w:widowControl w:val="0"/>
      <w:spacing w:after="120" w:line="440" w:lineRule="exact"/>
      <w:ind w:firstLine="420"/>
      <w:jc w:val="both"/>
    </w:pPr>
    <w:rPr>
      <w:rFonts w:hint="default" w:ascii="宋体" w:hAnsi="Times New Roman" w:eastAsia="宋体" w:cs="Times New Roman"/>
      <w:sz w:val="24"/>
      <w:szCs w:val="28"/>
      <w:lang w:val="en-US" w:eastAsia="zh-CN" w:bidi="ar-SA"/>
    </w:rPr>
  </w:style>
  <w:style w:type="paragraph" w:customStyle="1" w:styleId="236">
    <w:name w:val="列出段落1"/>
    <w:basedOn w:val="1"/>
    <w:qFormat/>
    <w:uiPriority w:val="0"/>
    <w:pPr>
      <w:ind w:firstLine="420"/>
    </w:pPr>
    <w:rPr>
      <w:rFonts w:ascii="Calibri" w:hAnsi="Calibri"/>
    </w:rPr>
  </w:style>
  <w:style w:type="paragraph" w:customStyle="1" w:styleId="237">
    <w:name w:val="_Style 1"/>
    <w:basedOn w:val="1"/>
    <w:qFormat/>
    <w:uiPriority w:val="0"/>
    <w:pPr>
      <w:ind w:firstLine="420"/>
    </w:pPr>
    <w:rPr>
      <w:rFonts w:ascii="Calibri" w:hAnsi="Calibri"/>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72</Pages>
  <Words>25523</Words>
  <Characters>26632</Characters>
  <TotalTime>1</TotalTime>
  <ScaleCrop>false</ScaleCrop>
  <LinksUpToDate>false</LinksUpToDate>
  <CharactersWithSpaces>27051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2024-11-05T13:21:00Z</dcterms:created>
  <dc:creator>严molly</dc:creator>
  <cp:lastModifiedBy>WPS_1741579836</cp:lastModifiedBy>
  <dcterms:modified xsi:type="dcterms:W3CDTF">2026-06-09T11:35:13Z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421D66FB340747C199531087DA72ACE4_13</vt:lpwstr>
  </property>
  <property fmtid="{D5CDD505-2E9C-101B-9397-08002B2CF9AE}" pid="4" name="KSOTemplateDocerSaveRecord">
    <vt:lpwstr>eyJoZGlkIjoiN2IzNGZkZDFjNmNjYmUxMDFlNTJjZWYxYTRmNGRkMGYiLCJ1c2VySWQiOiIxNjg0NDg5MjE4In0=</vt:lpwstr>
  </property>
</Properties>
</file>